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
        <w:rPr>
          <w:rFonts w:ascii="Times New Roman" w:hAnsi="Times New Roman" w:eastAsia="Times New Roman" w:cs="Times New Roman"/>
          <w:sz w:val="7"/>
          <w:szCs w:val="7"/>
        </w:rPr>
      </w:pPr>
    </w:p>
    <w:p>
      <w:pPr>
        <w:widowControl/>
        <w:rPr>
          <w:rFonts w:hint="eastAsia" w:ascii="宋体" w:hAnsi="宋体" w:eastAsia="宋体" w:cs="宋体"/>
          <w:b/>
          <w:bCs/>
          <w:sz w:val="32"/>
          <w:lang w:eastAsia="zh-CN"/>
        </w:rPr>
      </w:pPr>
    </w:p>
    <w:p>
      <w:pPr>
        <w:widowControl/>
        <w:jc w:val="center"/>
        <w:rPr>
          <w:rFonts w:hint="eastAsia" w:ascii="宋体" w:hAnsi="宋体" w:eastAsia="宋体" w:cs="宋体"/>
          <w:b/>
          <w:bCs/>
          <w:sz w:val="32"/>
          <w:lang w:eastAsia="zh-CN"/>
        </w:rPr>
      </w:pPr>
      <w:r>
        <w:rPr>
          <w:rFonts w:hint="eastAsia" w:ascii="宋体" w:hAnsi="宋体" w:eastAsia="宋体" w:cs="宋体"/>
          <w:b/>
          <w:bCs/>
          <w:sz w:val="32"/>
          <w:lang w:eastAsia="zh-CN"/>
        </w:rPr>
        <w:t>衢州智造新城健康综合体项目智能手术室配置清单</w:t>
      </w:r>
    </w:p>
    <w:p>
      <w:pPr>
        <w:widowControl/>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1、</w:t>
      </w:r>
      <w:bookmarkStart w:id="1" w:name="_GoBack"/>
      <w:r>
        <w:rPr>
          <w:rFonts w:hint="eastAsia" w:ascii="宋体" w:hAnsi="宋体" w:eastAsia="宋体" w:cs="宋体"/>
          <w:b/>
          <w:bCs/>
          <w:sz w:val="28"/>
          <w:szCs w:val="28"/>
          <w:lang w:eastAsia="zh-CN"/>
        </w:rPr>
        <w:t>智能手术室系统</w:t>
      </w:r>
      <w:bookmarkEnd w:id="1"/>
    </w:p>
    <w:p>
      <w:pPr>
        <w:rPr>
          <w:sz w:val="20"/>
          <w:szCs w:val="20"/>
          <w:lang w:eastAsia="zh-CN"/>
        </w:rPr>
      </w:pPr>
      <w:r>
        <w:rPr>
          <w:rFonts w:hint="eastAsia"/>
          <w:lang w:eastAsia="zh-CN"/>
        </w:rPr>
        <w:fldChar w:fldCharType="begin"/>
      </w:r>
      <w:r>
        <w:rPr>
          <w:rFonts w:hint="eastAsia"/>
          <w:lang w:eastAsia="zh-CN"/>
        </w:rPr>
        <w:instrText xml:space="preserve"> </w:instrText>
      </w:r>
      <w:r>
        <w:rPr>
          <w:lang w:eastAsia="zh-CN"/>
        </w:rPr>
        <w:instrText xml:space="preserve">LINK Excel.Sheet.12</w:instrText>
      </w:r>
      <w:r>
        <w:rPr>
          <w:rFonts w:hint="eastAsia"/>
          <w:lang w:eastAsia="zh-CN"/>
        </w:rPr>
        <w:instrText xml:space="preserve"> C:\\Users\\LYF\\Desktop\\项目管理\\衢江区中医院\\衢江区中医院智能手术室医院报价.xlsx</w:instrText>
      </w:r>
      <w:r>
        <w:rPr>
          <w:lang w:eastAsia="zh-CN"/>
        </w:rPr>
        <w:instrText xml:space="preserve"> Sheet1!R1C1:R49C5 \a \f 4 \h</w:instrText>
      </w:r>
      <w:r>
        <w:rPr>
          <w:rFonts w:hint="eastAsia"/>
          <w:lang w:eastAsia="zh-CN"/>
        </w:rPr>
        <w:instrText xml:space="preserve"> </w:instrText>
      </w:r>
      <w:r>
        <w:rPr>
          <w:lang w:eastAsia="zh-CN"/>
        </w:rPr>
        <w:instrText xml:space="preserve"> \* MERGEFORMAT </w:instrText>
      </w:r>
      <w:r>
        <w:rPr>
          <w:rFonts w:hint="eastAsia"/>
          <w:lang w:eastAsia="zh-CN"/>
        </w:rPr>
        <w:fldChar w:fldCharType="separate"/>
      </w:r>
    </w:p>
    <w:tbl>
      <w:tblPr>
        <w:tblStyle w:val="4"/>
        <w:tblW w:w="14155" w:type="dxa"/>
        <w:tblInd w:w="0" w:type="dxa"/>
        <w:tblLayout w:type="autofit"/>
        <w:tblCellMar>
          <w:top w:w="0" w:type="dxa"/>
          <w:left w:w="108" w:type="dxa"/>
          <w:bottom w:w="0" w:type="dxa"/>
          <w:right w:w="108" w:type="dxa"/>
        </w:tblCellMar>
      </w:tblPr>
      <w:tblGrid>
        <w:gridCol w:w="697"/>
        <w:gridCol w:w="1338"/>
        <w:gridCol w:w="10429"/>
        <w:gridCol w:w="709"/>
        <w:gridCol w:w="760"/>
        <w:gridCol w:w="222"/>
      </w:tblGrid>
      <w:tr>
        <w:tblPrEx>
          <w:tblCellMar>
            <w:top w:w="0" w:type="dxa"/>
            <w:left w:w="108" w:type="dxa"/>
            <w:bottom w:w="0" w:type="dxa"/>
            <w:right w:w="108" w:type="dxa"/>
          </w:tblCellMar>
        </w:tblPrEx>
        <w:trPr>
          <w:gridAfter w:val="1"/>
          <w:wAfter w:w="222" w:type="dxa"/>
          <w:trHeight w:val="396" w:hRule="atLeast"/>
        </w:trPr>
        <w:tc>
          <w:tcPr>
            <w:tcW w:w="13933" w:type="dxa"/>
            <w:gridSpan w:val="5"/>
            <w:tcBorders>
              <w:top w:val="single" w:color="auto" w:sz="8" w:space="0"/>
              <w:left w:val="single" w:color="auto" w:sz="8" w:space="0"/>
              <w:bottom w:val="single" w:color="auto" w:sz="4" w:space="0"/>
              <w:right w:val="single" w:color="000000" w:sz="8" w:space="0"/>
            </w:tcBorders>
            <w:noWrap/>
            <w:vAlign w:val="center"/>
          </w:tcPr>
          <w:p>
            <w:pPr>
              <w:widowControl/>
              <w:jc w:val="center"/>
              <w:rPr>
                <w:rFonts w:hint="eastAsia" w:ascii="宋体" w:hAnsi="宋体" w:eastAsia="宋体" w:cs="宋体"/>
                <w:color w:val="000000"/>
                <w:lang w:eastAsia="zh-CN"/>
              </w:rPr>
            </w:pPr>
            <w:bookmarkStart w:id="0" w:name="_Hlk242775363"/>
            <w:r>
              <w:rPr>
                <w:rFonts w:hint="eastAsia" w:ascii="宋体" w:hAnsi="宋体" w:eastAsia="宋体" w:cs="宋体"/>
                <w:color w:val="000000"/>
                <w:lang w:eastAsia="zh-CN"/>
              </w:rPr>
              <w:t>一、智能化手术室（ 2 间）</w:t>
            </w:r>
          </w:p>
        </w:tc>
      </w:tr>
      <w:tr>
        <w:tblPrEx>
          <w:tblCellMar>
            <w:top w:w="0" w:type="dxa"/>
            <w:left w:w="108" w:type="dxa"/>
            <w:bottom w:w="0" w:type="dxa"/>
            <w:right w:w="108" w:type="dxa"/>
          </w:tblCellMar>
        </w:tblPrEx>
        <w:trPr>
          <w:gridAfter w:val="1"/>
          <w:wAfter w:w="222" w:type="dxa"/>
          <w:trHeight w:val="666"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患者信息显示系统</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配置 大尺寸介入专用55 英寸 医用4K 融合显示系统 ，显示手术图像 ，支持多画面显示</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CellMar>
            <w:top w:w="0" w:type="dxa"/>
            <w:left w:w="108" w:type="dxa"/>
            <w:bottom w:w="0" w:type="dxa"/>
            <w:right w:w="108" w:type="dxa"/>
          </w:tblCellMar>
        </w:tblPrEx>
        <w:trPr>
          <w:gridAfter w:val="1"/>
          <w:wAfter w:w="222" w:type="dxa"/>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音频交互系统</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实现一体式音频处理 ，整合朮间 、远程专家 、会场等多方音频； 头戴式耳麦 ，实现</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53"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735" w:hRule="atLeast"/>
        </w:trPr>
        <w:tc>
          <w:tcPr>
            <w:tcW w:w="697" w:type="dxa"/>
            <w:tcBorders>
              <w:top w:val="nil"/>
              <w:left w:val="single" w:color="auto" w:sz="8" w:space="0"/>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1338" w:type="dxa"/>
            <w:tcBorders>
              <w:top w:val="nil"/>
              <w:left w:val="nil"/>
              <w:bottom w:val="nil"/>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医学影像采集对接适配系</w:t>
            </w:r>
          </w:p>
        </w:tc>
        <w:tc>
          <w:tcPr>
            <w:tcW w:w="10429" w:type="dxa"/>
            <w:tcBorders>
              <w:top w:val="nil"/>
              <w:left w:val="nil"/>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适配采集手术室内  所有影像设备</w:t>
            </w:r>
          </w:p>
        </w:tc>
        <w:tc>
          <w:tcPr>
            <w:tcW w:w="709" w:type="dxa"/>
            <w:tcBorders>
              <w:top w:val="nil"/>
              <w:left w:val="nil"/>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nil"/>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420"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远程手术示教观摩系统</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手术影像可自由调度至会场,支持手术远程示教转播</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366"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全景摄像机</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高清全景摄像机 ， 12 倍光学变焦</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专家远程术中指导系统</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国内外专家可通过手机进行远程手术指导 ，可以互动 、可以标记图像 。客户端软件安装支持 iOS 、安卓 、MAC OS 、Windows 等系统。</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713"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7</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多专家远程术中会诊系统</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19"/>
                <w:szCs w:val="19"/>
                <w:lang w:eastAsia="zh-CN"/>
              </w:rPr>
            </w:pPr>
            <w:r>
              <w:rPr>
                <w:rFonts w:hint="eastAsia" w:ascii="宋体" w:hAnsi="宋体" w:eastAsia="宋体" w:cs="宋体"/>
                <w:color w:val="000000"/>
                <w:sz w:val="19"/>
                <w:szCs w:val="19"/>
                <w:lang w:eastAsia="zh-CN"/>
              </w:rPr>
              <w:t>实现介入专家 、外科专家 、影像科专家等多方专家等术中同时远程 MDT 会诊 ，支持 6方专家同时参与一场手术会诊。</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手术影像智能录像系统</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实现手术室 4K、高清多维度视频的高质量录制；支持内窥镜信号等 4 路影像信号的同步录制（每路信号源都支持单独录制保存），采用硬件编码方式，非 “采集卡+PC ”编码方式 ，设备提供 4T 本地存储容量</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9</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系统控制软件模块</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操作软件模块 ，支持信号源画面预览；支持视频切换 、分屏 、录制 、检录 、回放、</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10</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学术会议全网直播服务</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基于云服务平台 ，提供手术视频资源的直播 、点播 、下载等功能 ，可满足学术会议</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次</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315"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11</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术业摄像机系统</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4K术业摄像机加支臂系统</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二、智能化示教室（ 1 间）</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765" w:hRule="atLeast"/>
        </w:trPr>
        <w:tc>
          <w:tcPr>
            <w:tcW w:w="697" w:type="dxa"/>
            <w:tcBorders>
              <w:top w:val="nil"/>
              <w:left w:val="single" w:color="auto" w:sz="8" w:space="0"/>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1338"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98寸高分辨率液晶专业显示系统</w:t>
            </w:r>
          </w:p>
        </w:tc>
        <w:tc>
          <w:tcPr>
            <w:tcW w:w="1042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尺寸 98英寸一体机 ，分辨率 3840×2160 ，精准显示各种手术、CT、MR、超声、核医学、病理等图像。</w:t>
            </w:r>
          </w:p>
        </w:tc>
        <w:tc>
          <w:tcPr>
            <w:tcW w:w="7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tcBorders>
              <w:top w:val="nil"/>
              <w:left w:val="nil"/>
              <w:bottom w:val="single" w:color="auto"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1338"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远程手术示教观摩系统</w:t>
            </w:r>
          </w:p>
        </w:tc>
        <w:tc>
          <w:tcPr>
            <w:tcW w:w="1042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基于院内网络，实现手术影像自由调度至示教室,支持手术远程示教转播,支持在示</w:t>
            </w:r>
          </w:p>
        </w:tc>
        <w:tc>
          <w:tcPr>
            <w:tcW w:w="709"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single" w:color="000000" w:sz="4" w:space="0"/>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single" w:color="000000" w:sz="4" w:space="0"/>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single" w:color="000000" w:sz="4" w:space="0"/>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restart"/>
            <w:tcBorders>
              <w:top w:val="nil"/>
              <w:left w:val="single" w:color="auto" w:sz="8" w:space="0"/>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1338" w:type="dxa"/>
            <w:vMerge w:val="restart"/>
            <w:tcBorders>
              <w:top w:val="nil"/>
              <w:left w:val="single" w:color="auto" w:sz="4" w:space="0"/>
              <w:bottom w:val="nil"/>
              <w:right w:val="single" w:color="auto" w:sz="4" w:space="0"/>
            </w:tcBorders>
            <w:vAlign w:val="center"/>
          </w:tcPr>
          <w:p>
            <w:pPr>
              <w:widowControl/>
              <w:jc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sz w:val="20"/>
                <w:szCs w:val="20"/>
                <w:lang w:eastAsia="zh-CN"/>
              </w:rPr>
              <w:t>智能医学示教控制软件</w:t>
            </w:r>
          </w:p>
        </w:tc>
        <w:tc>
          <w:tcPr>
            <w:tcW w:w="10429" w:type="dxa"/>
            <w:vMerge w:val="restart"/>
            <w:tcBorders>
              <w:top w:val="nil"/>
              <w:left w:val="single" w:color="auto" w:sz="4" w:space="0"/>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智能化示教室综合管理控制软件具备可查看术间所有信号源的列表 ，在信号源列</w:t>
            </w:r>
          </w:p>
        </w:tc>
        <w:tc>
          <w:tcPr>
            <w:tcW w:w="709" w:type="dxa"/>
            <w:vMerge w:val="restart"/>
            <w:tcBorders>
              <w:top w:val="nil"/>
              <w:left w:val="single" w:color="auto" w:sz="4" w:space="0"/>
              <w:bottom w:val="nil"/>
              <w:right w:val="single" w:color="auto" w:sz="4"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760" w:type="dxa"/>
            <w:vMerge w:val="restart"/>
            <w:tcBorders>
              <w:top w:val="nil"/>
              <w:left w:val="single" w:color="auto" w:sz="4" w:space="0"/>
              <w:bottom w:val="nil"/>
              <w:right w:val="single" w:color="auto" w:sz="8" w:space="0"/>
            </w:tcBorders>
            <w:vAlign w:val="center"/>
          </w:tcPr>
          <w:p>
            <w:pPr>
              <w:widowControl/>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jc w:val="center"/>
              <w:rPr>
                <w:rFonts w:hint="eastAsia" w:ascii="宋体" w:hAnsi="宋体" w:eastAsia="宋体" w:cs="宋体"/>
                <w:color w:val="000000"/>
                <w:sz w:val="20"/>
                <w:szCs w:val="20"/>
                <w:lang w:eastAsia="zh-CN"/>
              </w:rPr>
            </w:pPr>
          </w:p>
        </w:tc>
      </w:tr>
      <w:tr>
        <w:tblPrEx>
          <w:tblCellMar>
            <w:top w:w="0" w:type="dxa"/>
            <w:left w:w="108" w:type="dxa"/>
            <w:bottom w:w="0" w:type="dxa"/>
            <w:right w:w="108" w:type="dxa"/>
          </w:tblCellMar>
        </w:tblPrEx>
        <w:trPr>
          <w:trHeight w:val="270" w:hRule="atLeast"/>
        </w:trPr>
        <w:tc>
          <w:tcPr>
            <w:tcW w:w="697" w:type="dxa"/>
            <w:vMerge w:val="continue"/>
            <w:tcBorders>
              <w:top w:val="nil"/>
              <w:left w:val="single" w:color="auto" w:sz="8"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03" w:hRule="atLeast"/>
        </w:trPr>
        <w:tc>
          <w:tcPr>
            <w:tcW w:w="697" w:type="dxa"/>
            <w:vMerge w:val="continue"/>
            <w:tcBorders>
              <w:top w:val="nil"/>
              <w:left w:val="single" w:color="auto" w:sz="8"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1338"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b/>
                <w:bCs/>
                <w:color w:val="000000"/>
                <w:sz w:val="20"/>
                <w:szCs w:val="20"/>
                <w:lang w:eastAsia="zh-CN"/>
              </w:rPr>
            </w:pPr>
          </w:p>
        </w:tc>
        <w:tc>
          <w:tcPr>
            <w:tcW w:w="1042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09" w:type="dxa"/>
            <w:vMerge w:val="continue"/>
            <w:tcBorders>
              <w:top w:val="nil"/>
              <w:left w:val="single" w:color="auto" w:sz="4" w:space="0"/>
              <w:bottom w:val="nil"/>
              <w:right w:val="single" w:color="auto" w:sz="4" w:space="0"/>
            </w:tcBorders>
            <w:vAlign w:val="center"/>
          </w:tcPr>
          <w:p>
            <w:pPr>
              <w:widowControl/>
              <w:rPr>
                <w:rFonts w:hint="eastAsia" w:ascii="宋体" w:hAnsi="宋体" w:eastAsia="宋体" w:cs="宋体"/>
                <w:color w:val="000000"/>
                <w:sz w:val="20"/>
                <w:szCs w:val="20"/>
                <w:lang w:eastAsia="zh-CN"/>
              </w:rPr>
            </w:pPr>
          </w:p>
        </w:tc>
        <w:tc>
          <w:tcPr>
            <w:tcW w:w="760" w:type="dxa"/>
            <w:vMerge w:val="continue"/>
            <w:tcBorders>
              <w:top w:val="nil"/>
              <w:left w:val="single" w:color="auto" w:sz="4" w:space="0"/>
              <w:bottom w:val="nil"/>
              <w:right w:val="single" w:color="auto" w:sz="8" w:space="0"/>
            </w:tcBorders>
            <w:vAlign w:val="center"/>
          </w:tcPr>
          <w:p>
            <w:pPr>
              <w:widowControl/>
              <w:rPr>
                <w:rFonts w:hint="eastAsia" w:ascii="宋体" w:hAnsi="宋体" w:eastAsia="宋体" w:cs="宋体"/>
                <w:color w:val="000000"/>
                <w:sz w:val="20"/>
                <w:szCs w:val="20"/>
                <w:lang w:eastAsia="zh-CN"/>
              </w:rPr>
            </w:pPr>
          </w:p>
        </w:tc>
        <w:tc>
          <w:tcPr>
            <w:tcW w:w="222" w:type="dxa"/>
            <w:tcBorders>
              <w:top w:val="nil"/>
              <w:left w:val="nil"/>
              <w:bottom w:val="nil"/>
              <w:right w:val="nil"/>
            </w:tcBorders>
            <w:noWrap/>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三、智能家属谈话间（ 1 间）</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1338"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智能家属谈话系统</w:t>
            </w:r>
          </w:p>
        </w:tc>
        <w:tc>
          <w:tcPr>
            <w:tcW w:w="10429"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支持谈话过程的全称音视频录制存储、手术患者关键信息展示（PACS/HIS/EMR/DSA视频信息），相关谈话过程自动存储归档。（包含对应的摄像头以及音频文件）</w:t>
            </w:r>
          </w:p>
        </w:tc>
        <w:tc>
          <w:tcPr>
            <w:tcW w:w="709"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760" w:type="dxa"/>
            <w:tcBorders>
              <w:top w:val="nil"/>
              <w:left w:val="nil"/>
              <w:bottom w:val="single" w:color="auto" w:sz="4" w:space="0"/>
              <w:right w:val="single" w:color="auto" w:sz="8"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13933" w:type="dxa"/>
            <w:gridSpan w:val="5"/>
            <w:tcBorders>
              <w:top w:val="single" w:color="auto" w:sz="4" w:space="0"/>
              <w:left w:val="single" w:color="auto" w:sz="8" w:space="0"/>
              <w:bottom w:val="single" w:color="auto" w:sz="4" w:space="0"/>
              <w:right w:val="single" w:color="000000" w:sz="8"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四、显示系统</w:t>
            </w:r>
          </w:p>
        </w:tc>
        <w:tc>
          <w:tcPr>
            <w:tcW w:w="222" w:type="dxa"/>
            <w:vAlign w:val="center"/>
          </w:tcPr>
          <w:p>
            <w:pPr>
              <w:widowControl/>
              <w:rPr>
                <w:rFonts w:ascii="Times New Roman" w:hAnsi="Times New Roman" w:eastAsia="Times New Roman" w:cs="Times New Roman"/>
                <w:sz w:val="20"/>
                <w:szCs w:val="20"/>
                <w:lang w:eastAsia="zh-CN"/>
              </w:rPr>
            </w:pPr>
          </w:p>
        </w:tc>
      </w:tr>
      <w:tr>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1</w:t>
            </w:r>
          </w:p>
        </w:tc>
        <w:tc>
          <w:tcPr>
            <w:tcW w:w="1338"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医用显示器（含吊臂）</w:t>
            </w:r>
          </w:p>
        </w:tc>
        <w:tc>
          <w:tcPr>
            <w:tcW w:w="10429"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27”医用全高清显示器</w:t>
            </w:r>
          </w:p>
        </w:tc>
        <w:tc>
          <w:tcPr>
            <w:tcW w:w="709"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5</w:t>
            </w:r>
          </w:p>
        </w:tc>
        <w:tc>
          <w:tcPr>
            <w:tcW w:w="760" w:type="dxa"/>
            <w:tcBorders>
              <w:top w:val="nil"/>
              <w:left w:val="nil"/>
              <w:bottom w:val="single" w:color="auto" w:sz="4" w:space="0"/>
              <w:right w:val="single" w:color="auto" w:sz="8" w:space="0"/>
            </w:tcBorders>
            <w:noWrap/>
            <w:vAlign w:val="center"/>
          </w:tcPr>
          <w:p>
            <w:pPr>
              <w:widowControl/>
              <w:jc w:val="center"/>
              <w:rPr>
                <w:rFonts w:hint="eastAsia" w:ascii="宋体" w:hAnsi="宋体" w:eastAsia="宋体" w:cs="宋体"/>
                <w:color w:val="000000"/>
                <w:lang w:eastAsia="zh-CN"/>
              </w:rPr>
            </w:pPr>
            <w:r>
              <w:rPr>
                <w:rFonts w:hint="eastAsia" w:ascii="宋体" w:hAnsi="宋体" w:eastAsia="宋体" w:cs="宋体"/>
                <w:color w:val="000000"/>
                <w:lang w:eastAsia="zh-CN"/>
              </w:rPr>
              <w:t>套</w:t>
            </w:r>
          </w:p>
        </w:tc>
        <w:tc>
          <w:tcPr>
            <w:tcW w:w="222" w:type="dxa"/>
            <w:vAlign w:val="center"/>
          </w:tcPr>
          <w:p>
            <w:pPr>
              <w:widowControl/>
              <w:rPr>
                <w:rFonts w:ascii="Times New Roman" w:hAnsi="Times New Roman" w:eastAsia="Times New Roman" w:cs="Times New Roman"/>
                <w:sz w:val="20"/>
                <w:szCs w:val="20"/>
                <w:lang w:eastAsia="zh-CN"/>
              </w:rPr>
            </w:pPr>
          </w:p>
        </w:tc>
      </w:tr>
      <w:bookmarkEnd w:id="0"/>
    </w:tbl>
    <w:p>
      <w:pPr>
        <w:rPr>
          <w:rFonts w:hint="eastAsia" w:ascii="宋体" w:hAnsi="宋体" w:eastAsia="宋体" w:cs="宋体"/>
          <w:b/>
          <w:bCs/>
          <w:sz w:val="32"/>
          <w:lang w:eastAsia="zh-CN"/>
        </w:rPr>
      </w:pPr>
      <w:r>
        <w:rPr>
          <w:rFonts w:hint="eastAsia" w:ascii="宋体" w:hAnsi="宋体" w:eastAsia="宋体" w:cs="宋体"/>
          <w:b/>
          <w:bCs/>
          <w:sz w:val="32"/>
          <w:lang w:eastAsia="zh-CN"/>
        </w:rPr>
        <w:fldChar w:fldCharType="end"/>
      </w:r>
    </w:p>
    <w:p>
      <w:pPr>
        <w:rPr>
          <w:rFonts w:hint="eastAsia" w:ascii="宋体" w:hAnsi="宋体" w:eastAsia="宋体" w:cs="宋体"/>
          <w:b/>
          <w:bCs/>
          <w:sz w:val="32"/>
          <w:lang w:eastAsia="zh-CN"/>
        </w:rPr>
      </w:pPr>
    </w:p>
    <w:p>
      <w:pPr>
        <w:widowControl/>
        <w:rPr>
          <w:rFonts w:hint="eastAsia" w:ascii="宋体" w:hAnsi="宋体" w:eastAsia="宋体" w:cs="宋体"/>
          <w:b/>
          <w:bCs/>
          <w:sz w:val="32"/>
          <w:lang w:eastAsia="zh-CN"/>
        </w:rPr>
      </w:pPr>
      <w:r>
        <w:rPr>
          <w:rFonts w:hint="eastAsia" w:ascii="宋体" w:hAnsi="宋体" w:eastAsia="宋体" w:cs="宋体"/>
          <w:b/>
          <w:bCs/>
          <w:sz w:val="32"/>
          <w:lang w:eastAsia="zh-CN"/>
        </w:rPr>
        <w:br w:type="page"/>
      </w:r>
    </w:p>
    <w:p>
      <w:pPr>
        <w:rPr>
          <w:rFonts w:hint="eastAsia" w:ascii="宋体" w:hAnsi="宋体" w:eastAsia="宋体" w:cs="宋体"/>
          <w:b/>
          <w:bCs/>
          <w:sz w:val="32"/>
          <w:lang w:eastAsia="zh-CN"/>
        </w:rPr>
      </w:pPr>
      <w:r>
        <w:rPr>
          <w:rFonts w:hint="eastAsia" w:ascii="宋体" w:hAnsi="宋体" w:eastAsia="宋体" w:cs="宋体"/>
          <w:b/>
          <w:bCs/>
          <w:sz w:val="32"/>
          <w:lang w:eastAsia="zh-CN"/>
        </w:rPr>
        <w:t>2、行为管理系统配置清单</w:t>
      </w:r>
    </w:p>
    <w:p>
      <w:pPr>
        <w:rPr>
          <w:rFonts w:hint="eastAsia" w:ascii="宋体" w:hAnsi="宋体" w:eastAsia="宋体" w:cs="宋体"/>
          <w:b/>
          <w:bCs/>
          <w:sz w:val="32"/>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906"/>
        <w:gridCol w:w="1931"/>
        <w:gridCol w:w="8363"/>
        <w:gridCol w:w="850"/>
        <w:gridCol w:w="709"/>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1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序号</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产品名称</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尺寸规格</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描述</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品牌</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数量</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门禁套件</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8英寸</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1）支持不低于8英寸800×1280分辨率液晶屏；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2）集成人脸识别模块、刷卡、音视频通话等功能；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3）感应式门禁卡技术，充分支持符合ISO/IEC 15693、ISO14443A/B协议各主流电子标签。</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4）支持语音通话，支持视频通话。</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5）与手术排班系统关联，通过身份识别方式决定是否有进入手术室的权限，支持人脸、刷卡或手机NFC等识别方式。</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管理工作站</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23.8英寸</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1）英特尔酷睿i5 12代以上CPU</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2）内存≥16GB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3）硬盘存储≥1TB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4）≥23.8英寸显示器；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5）配有键盘鼠标套装；</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联想</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6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桌面式读写器</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1）充分支持符合ISO/IEC 15693、ISO14443A/B、ISO/IEC 18000-63协议各主流电子标签；</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2）支持人脸识别录入；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3）先进的标签碰撞处理算法，高识读率。</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智能发鞋机</w:t>
            </w:r>
          </w:p>
        </w:tc>
        <w:tc>
          <w:tcPr>
            <w:tcW w:w="1931" w:type="dxa"/>
            <w:noWrap/>
          </w:tcPr>
          <w:p>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710"/>
            </w:tblGrid>
            <w:tr>
              <w:tblPrEx>
                <w:tblCellMar>
                  <w:top w:w="0" w:type="dxa"/>
                  <w:left w:w="0" w:type="dxa"/>
                  <w:bottom w:w="0" w:type="dxa"/>
                  <w:right w:w="0" w:type="dxa"/>
                </w:tblCellMar>
              </w:tblPrEx>
              <w:trPr>
                <w:trHeight w:val="6720" w:hRule="atLeast"/>
                <w:tblCellSpacing w:w="0" w:type="dxa"/>
              </w:trPr>
              <w:tc>
                <w:tcPr>
                  <w:tcW w:w="1000" w:type="dxa"/>
                  <w:tcBorders>
                    <w:top w:val="nil"/>
                    <w:left w:val="nil"/>
                    <w:bottom w:val="single" w:color="000000" w:sz="4" w:space="0"/>
                    <w:right w:val="single" w:color="000000" w:sz="4" w:space="0"/>
                  </w:tcBorders>
                  <w:vAlign w:val="center"/>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W1120*D1150*H1969</w:t>
                  </w:r>
                </w:p>
              </w:tc>
            </w:tr>
          </w:tbl>
          <w:p>
            <w:pPr>
              <w:rPr>
                <w:rFonts w:hint="eastAsia" w:ascii="宋体" w:hAnsi="宋体" w:eastAsia="宋体" w:cs="宋体"/>
                <w:color w:val="000000"/>
                <w:sz w:val="20"/>
                <w:szCs w:val="20"/>
                <w:lang w:eastAsia="zh-CN"/>
              </w:rPr>
            </w:pP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拼装柜体可简单拆装，拆卸后整柜深度＜900mm，便于进入较窄的门或电梯，整机外形尺寸(W*D*H)1120mm±20mm×1150mm±20mm×1970mm±20mm，柜体顶部两侧有R50圆角，前大门为子母门结构，子门宽356mm，控制屏在子门上，母门宽780mm取鞋口在母门上，门开启占用过道空间更小，门轻更便于开关操作，电源、网线进线设置在柜体顶部尾端，柜体底部设置滚轮、脚杯一体式脚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3）材质：整柜镀锌板+电泳喷涂，室外级防锈工艺，柜体板厚1.5mm，柜门板厚1.5mm，转筒板厚0.8mm，外表满足防尘、防水、耐磨、防腐蚀。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4）取鞋口：前大门中部纵向设置8个取鞋口，电动推拉门，防夹手感应控制，提示灯带，取鞋口框内尺寸（W×H）210mm×137mm，底部取鞋口下沿距地≥480mm，顶部取鞋口下沿距地≤1712mm。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鞋舱转筒：整体由1/3钣金转筒拼装而成，拆掉柜内封板后，可见转筒底部设置单个电机驱动整个转筒，驱动结构为工程级封装一体式开模结构（与挖掘机底盘臂架支撑结构同源），无外露传动齿轮，皮实耐用、免维护、可靠运行15年以上；分隔独立扇形鞋舱，鞋舱配置大小舱格，以方便兼容不同尺码术鞋；鞋舱层间距＜8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6）发鞋形式：滚筒一体旋转式，所有储存仓格集成在一个一体化的滚筒上，滚筒层数≥8层，开启发鞋机柜门后即可看到一体化的滚筒，上下层不分离，上下层之间无遮挡。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7）柜内封板：打开前大门后，柜体内两侧封板采用卡扣安装，无需任何工具即可完成拆装，便于维护操作。</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8）重启按钮：柜门子门背部设有强电、弱电断电重启按钮，强电断电按钮按下则整柜断电，弱电断电按钮按下则屏幕断电。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9）物品识别：转筒内圈布置有8组物品有无检测传感器和RFID识别器（选配），每组分别对应8层鞋舱，前大门子门正面屏幕下方设有术鞋RFID读写器。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12）储存容量：≥129双/台（5层×15列+3层×18列）。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13）发鞋速度：平均发鞋时间≤3S。</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14）UPS供电：设备支持断电情况下工作1小时以上。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15）加鞋方式：无需打开前大门加鞋、不占用过道空间，手术鞋无需特殊包装，也无需预分尺码或挤压方式处理即可存放，每个取鞋口LED灯光及语音提示，取鞋口无需标注尺码型号，系统可以自动识别尺码并分配鞋舱，随机投递补鞋，提高补鞋效率，有效防止高峰期取鞋拥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16）设备离线功能：系统具备在断网状态下工作的能力，离线完成发放并记录，联网后系统自动完成数据同步。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17）发放功能：医护人员通过身份识别，无缝对接手麻系统中的手术排班信息，根据当天手术排班的情况自动匹配医护人员的手术鞋发放；支持无尺码选择尺码自动发放手术鞋，在智能发鞋机上识别人脸领取对应尺码的手术鞋，并自动绑定人员身份信息进行关联记录。</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智能发衣机</w:t>
            </w:r>
          </w:p>
        </w:tc>
        <w:tc>
          <w:tcPr>
            <w:tcW w:w="1931" w:type="dxa"/>
            <w:noWrap/>
          </w:tcPr>
          <w:p>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tblPrEx>
                <w:tblCellMar>
                  <w:top w:w="0" w:type="dxa"/>
                  <w:left w:w="0" w:type="dxa"/>
                  <w:bottom w:w="0" w:type="dxa"/>
                  <w:right w:w="0" w:type="dxa"/>
                </w:tblCellMar>
              </w:tblPrEx>
              <w:trPr>
                <w:trHeight w:val="5980" w:hRule="atLeast"/>
                <w:tblCellSpacing w:w="0" w:type="dxa"/>
              </w:trPr>
              <w:tc>
                <w:tcPr>
                  <w:tcW w:w="1000" w:type="dxa"/>
                  <w:tcBorders>
                    <w:top w:val="nil"/>
                    <w:left w:val="nil"/>
                    <w:bottom w:val="single" w:color="000000" w:sz="4" w:space="0"/>
                    <w:right w:val="single" w:color="000000" w:sz="4" w:space="0"/>
                  </w:tcBorders>
                  <w:vAlign w:val="center"/>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W995*D785*H1969</w:t>
                  </w:r>
                </w:p>
              </w:tc>
            </w:tr>
          </w:tbl>
          <w:p>
            <w:pPr>
              <w:rPr>
                <w:rFonts w:hint="eastAsia" w:ascii="宋体" w:hAnsi="宋体" w:eastAsia="宋体" w:cs="宋体"/>
                <w:color w:val="000000"/>
                <w:sz w:val="20"/>
                <w:szCs w:val="20"/>
                <w:lang w:eastAsia="zh-CN"/>
              </w:rPr>
            </w:pP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2）整机：满足医院空间摆放需求，整机外形尺寸(W×D×H)990mm±20mm×780mm±20mm×1970mm±20mm，电源、网线进线设置在柜体顶部尾端，柜体底部设置滚轮、脚杯一体式脚轮,柜体顶部两侧有R50圆角。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4）取衣口：前大门中部纵向设置8个取衣口，电动推拉门，防夹手感应控制，提示灯带，取衣口框内尺寸（W*H）159mm×171mm,底部取衣口下沿距地≥218mm，顶部取衣口下沿距地≤1676mm。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衣舱：塑胶衣舱+型材框架拼装转筒一体旋转式，柜体底部单个电机驱动整体转筒，故障率低、便于维护；塑胶衣舱采用PC+ABS复合环保材料注塑成型，质量轻、运行平顺，单组含两个衣舱，单组衣舱由三个零件通过卡扣方式且无需任何工具即可完成组装、拆卸，单组衣舱可从设备正面单独拆装，便于替换、检修、维护，衣舱内含有若干凸包、凸条等防滑结构，衣舱层间距＜10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6）重启按钮：柜门背部设有强电、弱电断电重启按钮，强电断电按钮按下则整柜断电，弱电断电按钮按下则屏幕断电。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7）物品识别：转筒内圈布置有8组物品有无检测传感器和RFID识别器，每组分别对应8层鞋舱。</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10）储存容量：≥128套/台（8层×16列）。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11）发衣速度：平均发衣时间≤3S。</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13）加衣方式：无需打开前大门加鞋、不占用加鞋空间，手术衣无需特殊包装、预分尺码即可存放，每个取衣口LED灯光及语音提示，取衣口无需标注尺码型号，系统可以自动识别分配衣舱，提高取鞋效率，有效防止高峰期取衣拥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14）设备离线功能：系统具备在断网状态下工作的能力，离线完成发放并记录，联网后系统自动完成数据同步。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15）排班检查功能：设备支持排班检查功能，没有排班的工作人员无法进行领用。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16）库存提醒功能：当各尺码衣物库存低于设定阈值时，界面提醒低库存，提醒工作人员及时添加。</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17）发放功能：医护人员通过身份识别，无缝对接手麻系统中的手术排班信息，根据当天手术排班的情况自动匹配医护人员的手术衣发放。支持自动选择S/M/L/XL/2XL/3XL/4XL等6种以上洗手衣尺码及多种颜色的选择发放手术衣，支持无尺码选择尺码自动发放手术衣，在智能发衣机上识别身份领取对应尺码的手术衣，并自动绑定人员身份信息进行关联记录。</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智能鞋柜控制主柜</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W400*D450*H1950</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2）整柜：满足医院空间摆放需求，整机外形尺寸。(W×D×H)400mm±20mm×450mm±20mm×1950±20mm，柜体顶部两侧有R40圆角，电源、网线进线设置在柜体顶部尾端，柜体底部有可调节高度脚杯，脚杯带有螺纹的φ12圆杆。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6）锁控：电控锁采用电磁设计原理，电控锁采用360度防撬、带防软片插入防盗装置。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材质：整柜镀锌板+电泳喷涂，室外级防锈工艺，柜体采用镀锌钢板厚度≥0.8mm；表面经多道工艺处理：去油、去酸、磷化、防锈处理最后静电喷涂，便于清洁，不易沾油污、磨损。箱门采用镀锌钢板厚度≥0.8mm；背面增加加强筋，提高箱门的防撞击能力，箱门的两侧呈一定角度的弧线外形，有效防止和降低使用者因疏忽碰伤、磕伤。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8）设备离线功能：系统具备在断网状态下工作的能力，离线完成开柜并记录，联网后系统自动完成开柜数据同步。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业务功能：管理员验证身份进入管理界面，可实现应急开箱、锁箱、清箱等功能。可通过后台管理系统远程管理，实现查询、远程开箱，数据统计等功能；为保证安全性，系统具有完备的日志记录，所有使用者信息、操作信息、时间信息后台均有行为记录；智能柜无需在操作界面点击“存、取”按钮，系统可智能判断使用方式。</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8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7</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16门智能存鞋柜</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W650*D450*H1950</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1）十六门：单箱内尺寸不低于(W*D*H) 305mm×450mm×217mm；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2）整柜：柜体高度≤2000mm，符合人体工程学、使用简单，操作方便；设备整体采用电泳涂装工艺处理，有效增强基材防锈防腐能力，显著提升长期耐候性能。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3）锁控：电控锁采用电磁设计原理，电控锁采用360 度防撬、带防软片插入防盗装置，具备箱门开关状态检测功能。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材质：柜体采用镀锌钢板厚度≥0.8mm；室外级防锈工艺，表面经多道工艺处理：去油、去酸、磷化、防锈处理最后静电喷涂，便于清洁，不易油污、磨损。箱门采用镀锌钢板厚度≥0.8mm；背面增加加强筋，提高箱门的防撞击能力，箱门的两侧呈一定角度的弧线外形，有效防止和降低使用者因疏忽碰伤、磕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5）箱格门：门轴中加入轴套，两列箱门之间左右间距＜8mm。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6）安全保管：带有防撬应急盖板装置及专用锁具，最大限度保证无障碍取物和智能柜安全。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7）应急开启：鞋柜柜体顶部内设置集中应急装置，外观简洁，兼顾防盗性能，单手操作一次即可开启所有柜门，应急维护操作便捷。</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智能衣柜控制主柜</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W400*D450*H1950</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2）整柜：满足医院空间摆放需求，整机外形尺寸。(W×D×H)400mm±20mm×450mm±20mm×1950±20mm，柜体顶部两侧有R40圆角，电源、网线进线设置在柜体顶部尾端，柜体底部有可调节高度脚杯，脚杯带有螺纹的φ12圆杆。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3）一体化操作终端：≥15.6寸电容触摸屏，带触控的钢化玻璃一体成型屏幕，同一个屏幕内集成人脸识别摄像头、刷卡认证模块及语音识别播放等功能，功能区更加集中，用户操作更加便捷。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4）身份识别模块：人脸识别、IC卡、账号密码、手机NFC等。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5）UPS供电：设备支持断电情况下工作1小时以上。</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6）锁控：电控锁采用电磁设计原理，电控锁采用360度防撬、带防软片插入防盗装置。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材质：整柜镀锌板+电泳喷涂，室外级防锈工艺，柜体采用镀锌钢板厚度≥0.8mm；表面经多道工艺处理：去油、去酸、磷化、防锈处理最后静电喷涂，便于清洁，不易沾油污、耐磨损。箱门采用镀锌钢板厚度≥0.8mm；背面增加加强筋，提高箱门的防撞击能力，箱门的两侧呈一定角度的弧线外形，有效防止和降低使用者因疏忽碰伤、磕伤。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8）设备离线功能：系统具备在断网状态下工作的能力，离线完成开柜并记录，联网后系统自动完成开柜数据同步。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业务功能：管理员验证身份进入管理界面，可实现应急开箱、锁箱、清箱等功能。可通过后台管理系统远程管理，实现查询、远程开箱，数据统计等功能；为保证安全性，系统具有完备的日志记录，所有使用者信息、操作信息、时间信息后台均有行为记录；智能柜无需在操作界面点击“存、取”按钮，系统可智能判断使用方式。</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6</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1"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9</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4门智能存衣柜</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W650*D450*H1950</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1）单箱内尺寸不低于(W*D*H) 305mm×450mm×885mm；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2）整柜：柜体高度≤2000mm，符合人体工程学使用简单，操作方便；设备整体采用电泳涂装工艺处理，有效增强基材防锈防腐能力，显著提升长期耐候性能。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3）锁控：电控锁采用电磁设计原理，电控锁采用360 度防撬、带防软片插入防盗装置，具备箱门开关状态检测功能。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材质：柜体采用镀锌钢板厚度≥0.8mm；室外级防锈工艺，表面经多道工艺处理：去油、去酸、磷化、防锈处理最后静电喷涂，便于清洁，不易油污、磨损。箱门采用镀锌钢板厚度≥0.8mm；背面增加加强筋，提高箱门的防撞击能力，箱门的两侧呈一定角度的弧线外形，有效防止和降低使用者因疏忽碰伤、磕伤。</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5）箱格门：独特的门轴和可调地脚设计，门轴中加入轴套，加上可调式地脚，有效避免卡门现象。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6）安全保管：带有防撬应急盖板装置及专用锁具，最大限度保证无障碍取物和智能柜安全。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7）应急开启：衣柜顶部设置机械锁，柜顶内部设置柜门集中应急开启装置，以便管理员能够在特殊情况下采取有效的应急措施，手动开启柜门。</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30</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1"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10</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智能回收（鞋）机</w:t>
            </w:r>
          </w:p>
        </w:tc>
        <w:tc>
          <w:tcPr>
            <w:tcW w:w="1931" w:type="dxa"/>
            <w:noWrap/>
          </w:tcPr>
          <w:p>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tblPrEx>
                <w:tblCellMar>
                  <w:top w:w="0" w:type="dxa"/>
                  <w:left w:w="0" w:type="dxa"/>
                  <w:bottom w:w="0" w:type="dxa"/>
                  <w:right w:w="0" w:type="dxa"/>
                </w:tblCellMar>
              </w:tblPrEx>
              <w:trPr>
                <w:trHeight w:val="4401" w:hRule="atLeast"/>
                <w:tblCellSpacing w:w="0" w:type="dxa"/>
              </w:trPr>
              <w:tc>
                <w:tcPr>
                  <w:tcW w:w="1000" w:type="dxa"/>
                  <w:tcBorders>
                    <w:top w:val="nil"/>
                    <w:left w:val="nil"/>
                    <w:bottom w:val="single" w:color="000000" w:sz="4" w:space="0"/>
                    <w:right w:val="single" w:color="000000" w:sz="4" w:space="0"/>
                  </w:tcBorders>
                  <w:vAlign w:val="center"/>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W850*D780*H1856</w:t>
                  </w:r>
                </w:p>
              </w:tc>
            </w:tr>
          </w:tbl>
          <w:p>
            <w:pPr>
              <w:rPr>
                <w:rFonts w:hint="eastAsia" w:ascii="宋体" w:hAnsi="宋体" w:eastAsia="宋体" w:cs="宋体"/>
                <w:color w:val="000000"/>
                <w:sz w:val="20"/>
                <w:szCs w:val="20"/>
                <w:lang w:eastAsia="zh-CN"/>
              </w:rPr>
            </w:pP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2）整机：满足医院空间摆放需求，整机外形尺寸(W*D*H)850mm±20mm×780mm±20mm×1850mm±20mm，电源、网线进线设置在柜体顶部尾端，柜体底部设置滚轮、脚杯一体式脚轮，控制面板顶部宽度方向有R50圆角。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3）材质：整柜镀锌板+电泳喷涂，室外级防锈工艺，柜体板厚1.5mm，柜门板厚1.5mm，外表满足防尘、防水、耐磨、防腐蚀要求。</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4）回收投递门：红外光幕遮挡感应电动内翻开启，开启角度＞60°，防夹手感应，RFID信号屏蔽结构，投递门尺寸（W*H）656mm×224mm，投递门宽度完全覆盖回收车宽度，便于投递，避免局部堆积。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5）重启按钮：柜体前方左侧设有强电、弱电断电重启按钮，强电断电按钮按下则整柜断电，弱电断电按钮按下则屏幕断电。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6）回收清运门：门磁感应开关门状态，电控磁吸锁，双开门，单扇门宽402mm×门高1145mm，RFID信号屏蔽结构。</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7）身份识别模块：IC卡、手机NFC等。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8）操作终端：≥10.1寸电容触摸屏。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9）污鞋回收数量：≥70双。</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便捷回收：投递遮挡红外光幕触发识别，红外光幕同时起到防夹手感应功能，结构简单可靠，既无需单独设置投递感应装置和防夹手感应装置，回收机采用RFID管理方式，医护人员将污鞋靠近回收机门口，自动开启回收门，无接触式投递，避免交叉感染，传感器检测物品掉落后完成回收动作，并语音提示污鞋回收状态。</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11）设备离线功能：系统具备在断网状态下工作的能力，离线完成回收并记录，联网后系统自动完成数据同步。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12）回收机箱满提醒：当回收机内的污鞋数量超过设定数值时，终端界面及管理系统同步弹出箱满提醒，提示工作人员及时清理回收机内污鞋。</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11</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智能回收（衣）机</w:t>
            </w:r>
          </w:p>
        </w:tc>
        <w:tc>
          <w:tcPr>
            <w:tcW w:w="1931" w:type="dxa"/>
            <w:noWrap/>
          </w:tcPr>
          <w:p>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510"/>
            </w:tblGrid>
            <w:tr>
              <w:tblPrEx>
                <w:tblCellMar>
                  <w:top w:w="0" w:type="dxa"/>
                  <w:left w:w="0" w:type="dxa"/>
                  <w:bottom w:w="0" w:type="dxa"/>
                  <w:right w:w="0" w:type="dxa"/>
                </w:tblCellMar>
              </w:tblPrEx>
              <w:trPr>
                <w:trHeight w:val="4480" w:hRule="atLeast"/>
                <w:tblCellSpacing w:w="0" w:type="dxa"/>
              </w:trPr>
              <w:tc>
                <w:tcPr>
                  <w:tcW w:w="1000" w:type="dxa"/>
                  <w:tcBorders>
                    <w:top w:val="nil"/>
                    <w:left w:val="nil"/>
                    <w:bottom w:val="single" w:color="000000" w:sz="4" w:space="0"/>
                    <w:right w:val="single" w:color="000000" w:sz="4" w:space="0"/>
                  </w:tcBorders>
                  <w:vAlign w:val="center"/>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W850*D780*H1856</w:t>
                  </w:r>
                </w:p>
              </w:tc>
            </w:tr>
          </w:tbl>
          <w:p>
            <w:pPr>
              <w:rPr>
                <w:rFonts w:hint="eastAsia" w:ascii="宋体" w:hAnsi="宋体" w:eastAsia="宋体" w:cs="宋体"/>
                <w:color w:val="000000"/>
                <w:sz w:val="20"/>
                <w:szCs w:val="20"/>
                <w:lang w:eastAsia="zh-CN"/>
              </w:rPr>
            </w:pP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1）控制主机 ：Android11、内存≥4GB、硬盘≥32GB。</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2）整机：满足医院空间摆放需求，整机外形尺寸(W×D×H)850mm±20mm×780mm±20mm×1850mm±20mm，电源、网线进线设置在柜体顶部尾端，柜体底部设置滚轮、脚杯一体式脚轮,控制面板顶部宽度方向有R50圆角。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3）材质：整柜镀锌板+电泳喷涂，室外级防锈工艺，柜体板厚1.5mm，柜门板厚1.5mm，外表满足防尘、防水、耐磨、防腐蚀。</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4）回收投递门：红外光幕遮挡感应电动内翻开启，开启角度＞60°，防夹手感应，RFID信号屏蔽结构，投递门尺寸（W*H）656mm×224mm，投递门宽度完全覆盖回收车宽度，便于投递，避免局部堆积。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5）重启按钮：柜体前方左侧设有强电、弱电断电重启按钮，强电断电按钮按下则整柜断电，弱电断电按钮按下则屏幕断电。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6）回收清运门：门磁感应开关检测关门状态，电控磁吸锁，双开门，单扇门宽402mm×门高1145mm，RFID信号屏蔽结构。</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7）身份识别模块：IC卡、手机NFC等。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8）显示模块：提供≤10.1英寸高清触摸显示屏；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9）污鞋回收数量：≥70套。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10）便捷回收：投递遮挡红外光幕触发识别，红外光幕同时起到防夹手感应功能，结构简单可靠，既无需单独设置投递感应装置和防夹手感应装置，回收机采用RFID管理方式，医护人员将污衣靠近回收机门口，自动开启回收门，无接触式投递，避免交叉感染，传感器检测物品掉落后完成回收动作，并语音提示污衣回收状态。</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11）设备离线功能：系统具备在断网状态下工作的能力，离线完成回收并记录，联网后系统自动完成数据同步。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12）回收机箱满提醒：当回收机内的污衣数量超过设定数值时，在终端界面显示箱满提醒和在管理系统箱满提醒，提醒工作人员及时清理对应回收机内污衣。</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12</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服务器</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1）CPU型号要求12核及以上处理器。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2）内存要求16G及以上，硬盘要求2T及以上硬盘；</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3）操作系统 windows Server2019操作系统；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4）2个550W交流电源，支持扩展。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5）两路机架式服务器。</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超聚变</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13</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RFID标签</w:t>
            </w:r>
          </w:p>
        </w:tc>
        <w:tc>
          <w:tcPr>
            <w:tcW w:w="1931" w:type="dxa"/>
            <w:noWrap/>
          </w:tcPr>
          <w:p>
            <w:pPr>
              <w:rPr>
                <w:rFonts w:hint="eastAsia" w:ascii="宋体" w:hAnsi="宋体" w:eastAsia="宋体" w:cs="宋体"/>
                <w:color w:val="000000"/>
                <w:sz w:val="20"/>
                <w:szCs w:val="20"/>
                <w:lang w:eastAsia="zh-CN"/>
              </w:rPr>
            </w:pPr>
          </w:p>
          <w:tbl>
            <w:tblPr>
              <w:tblStyle w:val="4"/>
              <w:tblW w:w="0" w:type="auto"/>
              <w:tblCellSpacing w:w="0" w:type="dxa"/>
              <w:tblInd w:w="0" w:type="dxa"/>
              <w:tblLayout w:type="autofit"/>
              <w:tblCellMar>
                <w:top w:w="0" w:type="dxa"/>
                <w:left w:w="0" w:type="dxa"/>
                <w:bottom w:w="0" w:type="dxa"/>
                <w:right w:w="0" w:type="dxa"/>
              </w:tblCellMar>
            </w:tblPr>
            <w:tblGrid>
              <w:gridCol w:w="1000"/>
            </w:tblGrid>
            <w:tr>
              <w:tblPrEx>
                <w:tblCellMar>
                  <w:top w:w="0" w:type="dxa"/>
                  <w:left w:w="0" w:type="dxa"/>
                  <w:bottom w:w="0" w:type="dxa"/>
                  <w:right w:w="0" w:type="dxa"/>
                </w:tblCellMar>
              </w:tblPrEx>
              <w:trPr>
                <w:trHeight w:val="1960" w:hRule="atLeast"/>
                <w:tblCellSpacing w:w="0" w:type="dxa"/>
              </w:trPr>
              <w:tc>
                <w:tcPr>
                  <w:tcW w:w="1000" w:type="dxa"/>
                  <w:tcBorders>
                    <w:top w:val="nil"/>
                    <w:left w:val="nil"/>
                    <w:bottom w:val="single" w:color="000000" w:sz="4" w:space="0"/>
                    <w:right w:val="single" w:color="000000" w:sz="4" w:space="0"/>
                  </w:tcBorders>
                  <w:vAlign w:val="center"/>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r>
          </w:tbl>
          <w:p>
            <w:pPr>
              <w:rPr>
                <w:rFonts w:hint="eastAsia" w:ascii="宋体" w:hAnsi="宋体" w:eastAsia="宋体" w:cs="宋体"/>
                <w:color w:val="000000"/>
                <w:sz w:val="20"/>
                <w:szCs w:val="20"/>
                <w:lang w:eastAsia="zh-CN"/>
              </w:rPr>
            </w:pP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1）符合EPC Class1 Gen2; ISO18000-6C协议标准；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2）感应距离：0-2700mm；</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3）可进行水洗、干洗，有防水性，耐高温性；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4）工作频率：902-928MHz 或 865~868MHz</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5）要求为柔性标签，缝制衣物上长期使用不破损，使用寿命≥200次。</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安智博/标信</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800</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14</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网络交换机</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48口</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1）要求使用千兆以太网交换机；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2）端口数量≥48口；</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H3C</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15</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发布一体机</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55英寸</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1）屏幕尺寸≥55英寸，分辨率：≥3840*2160。</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2）可选VESA、壁挂式等安装方式。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3）系统：Android操作系统。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4）功能要求：支持衣物未归还等违规信息显示，支持衣物发放量等信息显示，支持手术室的更衣鞋柜使用情况等信息显示，支持手术排班信息显示。</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AOC/创维</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16</w:t>
            </w:r>
          </w:p>
        </w:tc>
        <w:tc>
          <w:tcPr>
            <w:tcW w:w="11200" w:type="dxa"/>
            <w:gridSpan w:val="3"/>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手术室行为管理系统软件</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　</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　</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17</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系统接口对接</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系统可与院内集成平台相关业务系统对接，支持与院内HIS系统、一卡通系统、手麻系统、手术排班系统对接。</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1"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18</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行为管理工作站</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1.人员信息管理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1）系统可与医院信息系统实现无缝对接，自动同步或新增录入医护人员的姓名、性别、工号、科室等基础信息。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2）系统可设置设置人员的衣、鞋尺码，设置人员是否固定柜且固定柜不受系统超时占用释放影响。</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3）系统支持手术室人员使用设备优先级分配，分配上层存衣柜、中层存鞋柜、中层发放洗手衣、中层发放手术鞋等更好的区域。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4）系统管理手术室人员人脸、工卡、账号密码等识别方式录入并存储，自动同步到所有设备上使用。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 系统支持为指定用户临时增发一套服装领用额度。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2.衣鞋信息数据管理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1）系统支持对衣服鞋子颜色、尺码等信息录入与维护，且该信息与RFID芯片进行关联。</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2）系统支持手术室衣鞋RFID标签管理，可通过回收机批量扫描录入衣鞋信息。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3）系统对衣服、鞋子进行录入显示衣服鞋子尺码信息。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4）系统支持查看领取衣服鞋子及归还衣鞋后的人员关联信息。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5）系统支持对送洗及送回的衣鞋进行批量扫描清点，快速统计送洗及送回的衣鞋的尺码、数量。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3.设备远程管理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1）系统远程管控发鞋机、发衣机衣鞋尺码数量库存情况，可视化展示实时库存与可补货数量，库存低于设定阈值进行提醒。</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2）系统管控回收衣/鞋机，领取手术衣鞋的人员离开手术室时需进行衣、鞋的归还，归还成功自动解除名下所领取的衣鞋。</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3）系统管控衣鞋柜，医护人员识别身份后系统自动根据使用者的身份权限开启柜门并进行相应的提示，自动记录柜门开启时间。</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4）系统管理端远程管控衣鞋、鞋柜，可远程锁定、开启柜门，可视化呈现衣鞋柜使用情况（空闲、占用、锁定待维修等）。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5）系统管理端管控回收设备当前回收了多少数量的衣、鞋等数据，可视化进度条及数值精确监控回收箱满溢程度。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6）系统管理设备发衣发鞋机、更衣更鞋柜、回收机的设备网络状态，在线或离线。</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7）系统具备跨平台通讯功能，支持门禁远程呼叫接听、紧急通话功能。</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8）系统的管理平台可一键锁定系</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统，输入管理员的密码才能重新使用软件。</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4.统计报表管理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1）统计查询行为管理闭环全流程节点信息数据，如衣鞋柜使用数量、空闲数量、衣鞋发放量、衣鞋剩余量、衣鞋回收量等。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2）统计系统记录的信息，生成各种报表，如每日报表、箱柜报表、异常报表、借衣鞋报表、发放报表、进入报表、考勤报表、违规报表、回收报表等报表。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3）系统支持按人员或已绑定的衣鞋标签，双向追溯术衣术鞋的流转记录。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4）衣鞋发放量统计：系统根据时间统计衣鞋收发量及各尺码的衣鞋发放分布量、统计当日发放人员分布。</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5）衣鞋回收量统计：系统根据时间统计各回收机的衣鞋回收数量，支持按人员、设备查询回收明细。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6）衣鞋柜使用情况统计：系统支持衣鞋柜使用数量及空闲数量的统计、待维修及锁定数量统计，各类型柜使用及空闲数量统计。</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7）违规统计：系统根据时间统计超时未归还衣鞋违规人员的信息，对衣物的领用未归还信息统计，按科室和人员超时违规占用衣物次数统计前5数据。</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8）首台统计：具备首台开台数据监控看板，统计今日首台总量、准点及延迟开台台数与对应比率，提供近5个工作日准点率趋势图表，并可汇总展示近5个工作日按科室维度划分的准点与延迟开台情况。</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5.其他管理模块</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1）系统可选择人员，扫描衣鞋标签进行洗手衣、手术鞋人工发放管理。</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2）系统可管理工作人员领取洗手衣、手术鞋信息，可人工回收解除绑定</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19</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门禁准入管理</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1）在手术室入口设置门禁，门禁采用IC卡、人脸、手机NFC多种识别方式进行人员行为准入管控。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2）系统可远程呼叫开门，能与手术室护士站音视频通话，外院医生或参观临时人员通过与护士站音视频沟通远程开门。</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3）对接手术排班系统，验证进入手术室常规上班人员、当日手术排程人员。通过是否有手术安排判断有无进入手术室的权限，同时提醒医护人员当天手术安排情况，支持语音和画面显示。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4）系统设备应急管理使用，在断网离线状态下，进行正常开门并记录，联网后系统自动完成数据同步。</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5）系统支持对指定人员加入白名单高级准入权限，不受手术排班限制。</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20</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智能衣鞋发放管理</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1）系统支持人脸、IC卡、手机NFC、账号密码识别方式。</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2）系统支持按照预先维护的用户使用信息智能匹配舒适高度的衣鞋取货口领取含RFID芯片的洗手衣鞋，系统自动关联绑定。</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3）系统根据识别的人员信息自动发放对应尺码的手术衣鞋。</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4）实时呈现各尺码洗手衣、手术鞋库存数量，当某种尺码的衣鞋子低于设定的阈值时，系统界面会提醒该尺码缺货。</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5）发衣机、发鞋机系统约束每位手术室医护人员领取洗手衣、手术鞋的数量，可对未正确归还洗手衣、手术鞋的人员发出提醒及限制再借。</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6）发衣机、发鞋机系统智能化快速装载洗手衣、手术鞋、不放错，并且对存放操作有存放记录。</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7）发衣机、发鞋机系统具备在断网离线状态下工作的能力，离线完成发放并记录，联网后系统自动完成数据同步。</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21</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智能更衣鞋管理</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1）系统支持人脸、IC卡、手机NFC、账号密码识别方式，系统自动根据身份权限分配鞋柜并记录开柜信息。</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2）系统支持固定柜和流动共享柜相结合使用，根据预先维护的用户使用信息智能匹配舒适高度的衣鞋柜。</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3）系统支持在任意人员验证权限后，提示自己使用的更衣柜、更鞋柜的柜号。</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4）衣鞋柜支持断电后通过应急开锁，打开并使用柜子，断网离线模式下，正常使用设备的功能，联网后系统自动完成数据同步。</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22</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智能衣鞋回收管理</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1）医护人员离开手术室归还洗手衣、手术鞋，无需其他操作自动识别衣鞋RFID与领用人员解绑并记录归还，释放取衣、取鞋额度。</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2）当回收机内的污衣数量超过设定数值时，在终端界面显示箱满提醒和在管理系统箱满提醒，提醒工作人员及时清理对应的回收机污衣。</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3）系统具备在断网状态下工作的能力，离线完成回收并记录，联网后系统自动完成数据同步。</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419" w:type="dxa"/>
            <w:noWrap/>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23</w:t>
            </w:r>
          </w:p>
        </w:tc>
        <w:tc>
          <w:tcPr>
            <w:tcW w:w="906"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信息大屏管理</w:t>
            </w:r>
          </w:p>
        </w:tc>
        <w:tc>
          <w:tcPr>
            <w:tcW w:w="193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标准</w:t>
            </w:r>
          </w:p>
        </w:tc>
        <w:tc>
          <w:tcPr>
            <w:tcW w:w="8363"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1）信息在信息公告大屏显示各类数据的汇总，包括各类型柜子的使用和空置数量、发放及回收总览、违规行为信息等。</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2）系统管控未归还洗手衣、手术鞋的手术室工作人员，超时未归还自动记录违规并推送违规信息至信息大屏展示。</w:t>
            </w:r>
            <w:r>
              <w:rPr>
                <w:rFonts w:hint="eastAsia" w:ascii="宋体" w:hAnsi="宋体" w:eastAsia="宋体" w:cs="宋体"/>
                <w:color w:val="000000"/>
                <w:sz w:val="20"/>
                <w:szCs w:val="20"/>
                <w:lang w:eastAsia="zh-CN"/>
              </w:rPr>
              <w:br w:type="textWrapping"/>
            </w:r>
            <w:r>
              <w:rPr>
                <w:rFonts w:hint="eastAsia" w:ascii="宋体" w:hAnsi="宋体" w:eastAsia="宋体" w:cs="宋体"/>
                <w:color w:val="000000"/>
                <w:sz w:val="20"/>
                <w:szCs w:val="20"/>
                <w:lang w:eastAsia="zh-CN"/>
              </w:rPr>
              <w:t>3）通过对接医院手术排班系统，实时获取当日手术排班信息，并在数据大屏上以可视化形式展示。</w:t>
            </w:r>
          </w:p>
        </w:tc>
        <w:tc>
          <w:tcPr>
            <w:tcW w:w="850"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智莱</w:t>
            </w:r>
          </w:p>
        </w:tc>
        <w:tc>
          <w:tcPr>
            <w:tcW w:w="709"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1</w:t>
            </w:r>
          </w:p>
        </w:tc>
        <w:tc>
          <w:tcPr>
            <w:tcW w:w="851" w:type="dxa"/>
          </w:tcPr>
          <w:p>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套</w:t>
            </w:r>
          </w:p>
        </w:tc>
      </w:tr>
    </w:tbl>
    <w:p>
      <w:pPr>
        <w:rPr>
          <w:rFonts w:hint="eastAsia" w:ascii="宋体" w:hAnsi="宋体" w:eastAsia="宋体" w:cs="宋体"/>
          <w:b/>
          <w:bCs/>
          <w:sz w:val="32"/>
          <w:lang w:eastAsia="zh-CN"/>
        </w:rPr>
      </w:pPr>
      <w:r>
        <w:rPr>
          <w:rFonts w:ascii="宋体" w:hAnsi="宋体" w:eastAsia="宋体" w:cs="宋体"/>
          <w:b/>
          <w:bCs/>
          <w:sz w:val="32"/>
          <w:lang w:eastAsia="zh-CN"/>
        </w:rPr>
        <w:br w:type="textWrapping" w:clear="all"/>
      </w:r>
    </w:p>
    <w:p>
      <w:pPr>
        <w:spacing w:before="6"/>
        <w:rPr>
          <w:rFonts w:ascii="Times New Roman" w:hAnsi="Times New Roman" w:cs="Times New Roman"/>
          <w:sz w:val="6"/>
          <w:szCs w:val="6"/>
          <w:lang w:eastAsia="zh-CN"/>
        </w:rPr>
      </w:pPr>
    </w:p>
    <w:p>
      <w:pPr>
        <w:rPr>
          <w:vanish/>
          <w:lang w:eastAsia="zh-CN"/>
        </w:rPr>
      </w:pPr>
    </w:p>
    <w:sectPr>
      <w:pgSz w:w="23820" w:h="16840" w:orient="landscape"/>
      <w:pgMar w:top="851" w:right="1162" w:bottom="1077" w:left="85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仿宋">
    <w:panose1 w:val="02010609060101010101"/>
    <w:charset w:val="86"/>
    <w:family w:val="auto"/>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CFD"/>
    <w:rsid w:val="00006F2A"/>
    <w:rsid w:val="00030996"/>
    <w:rsid w:val="000316C6"/>
    <w:rsid w:val="0004090C"/>
    <w:rsid w:val="00050599"/>
    <w:rsid w:val="00051AB5"/>
    <w:rsid w:val="000535DB"/>
    <w:rsid w:val="0006191A"/>
    <w:rsid w:val="00067658"/>
    <w:rsid w:val="0007490C"/>
    <w:rsid w:val="00086F80"/>
    <w:rsid w:val="00094146"/>
    <w:rsid w:val="000B6DE6"/>
    <w:rsid w:val="000C2F47"/>
    <w:rsid w:val="000C40DC"/>
    <w:rsid w:val="000F01FF"/>
    <w:rsid w:val="000F71B5"/>
    <w:rsid w:val="001109F3"/>
    <w:rsid w:val="001217A1"/>
    <w:rsid w:val="001274F1"/>
    <w:rsid w:val="00146833"/>
    <w:rsid w:val="00185CAA"/>
    <w:rsid w:val="001878BC"/>
    <w:rsid w:val="001C2DA1"/>
    <w:rsid w:val="001C57DF"/>
    <w:rsid w:val="001D5B7D"/>
    <w:rsid w:val="001D6B2A"/>
    <w:rsid w:val="001E2069"/>
    <w:rsid w:val="00200F5F"/>
    <w:rsid w:val="0021567C"/>
    <w:rsid w:val="00261F89"/>
    <w:rsid w:val="002667D6"/>
    <w:rsid w:val="00271917"/>
    <w:rsid w:val="002A7159"/>
    <w:rsid w:val="002B1683"/>
    <w:rsid w:val="002C59B5"/>
    <w:rsid w:val="002E1E8E"/>
    <w:rsid w:val="002E6BEB"/>
    <w:rsid w:val="002F1B58"/>
    <w:rsid w:val="0031593A"/>
    <w:rsid w:val="003236C3"/>
    <w:rsid w:val="00337C5B"/>
    <w:rsid w:val="00361761"/>
    <w:rsid w:val="003739B1"/>
    <w:rsid w:val="00381800"/>
    <w:rsid w:val="00384CF4"/>
    <w:rsid w:val="003A42A4"/>
    <w:rsid w:val="003A6611"/>
    <w:rsid w:val="003A7263"/>
    <w:rsid w:val="003C7D7E"/>
    <w:rsid w:val="003E6F13"/>
    <w:rsid w:val="00475B78"/>
    <w:rsid w:val="00484B5F"/>
    <w:rsid w:val="004976F8"/>
    <w:rsid w:val="004B20D7"/>
    <w:rsid w:val="004B60FF"/>
    <w:rsid w:val="004C48D7"/>
    <w:rsid w:val="004D26FE"/>
    <w:rsid w:val="00501D79"/>
    <w:rsid w:val="00515B8C"/>
    <w:rsid w:val="00531593"/>
    <w:rsid w:val="00565311"/>
    <w:rsid w:val="005706DF"/>
    <w:rsid w:val="00587FFB"/>
    <w:rsid w:val="00594313"/>
    <w:rsid w:val="00594CB9"/>
    <w:rsid w:val="005D08DF"/>
    <w:rsid w:val="005E1F84"/>
    <w:rsid w:val="006258E1"/>
    <w:rsid w:val="00634FC4"/>
    <w:rsid w:val="006416A0"/>
    <w:rsid w:val="006607C4"/>
    <w:rsid w:val="00662BB5"/>
    <w:rsid w:val="0067008A"/>
    <w:rsid w:val="00695F55"/>
    <w:rsid w:val="006A215A"/>
    <w:rsid w:val="006B3EE6"/>
    <w:rsid w:val="006E22E9"/>
    <w:rsid w:val="007020DB"/>
    <w:rsid w:val="0070251D"/>
    <w:rsid w:val="00723C3E"/>
    <w:rsid w:val="00730608"/>
    <w:rsid w:val="00747F99"/>
    <w:rsid w:val="007618C3"/>
    <w:rsid w:val="0076223A"/>
    <w:rsid w:val="0077240E"/>
    <w:rsid w:val="00780C1C"/>
    <w:rsid w:val="00793711"/>
    <w:rsid w:val="00803B61"/>
    <w:rsid w:val="00821137"/>
    <w:rsid w:val="00825FCA"/>
    <w:rsid w:val="008358A9"/>
    <w:rsid w:val="00871609"/>
    <w:rsid w:val="0088782F"/>
    <w:rsid w:val="008B07EF"/>
    <w:rsid w:val="0092183A"/>
    <w:rsid w:val="009269A3"/>
    <w:rsid w:val="00951C5B"/>
    <w:rsid w:val="00977D64"/>
    <w:rsid w:val="009849E4"/>
    <w:rsid w:val="009B6383"/>
    <w:rsid w:val="009C2187"/>
    <w:rsid w:val="009D0D12"/>
    <w:rsid w:val="009D312E"/>
    <w:rsid w:val="009D4D01"/>
    <w:rsid w:val="009E310D"/>
    <w:rsid w:val="00A0428E"/>
    <w:rsid w:val="00A123D8"/>
    <w:rsid w:val="00A221C2"/>
    <w:rsid w:val="00A63A4C"/>
    <w:rsid w:val="00A711F2"/>
    <w:rsid w:val="00AA08ED"/>
    <w:rsid w:val="00AA302A"/>
    <w:rsid w:val="00AE4E45"/>
    <w:rsid w:val="00AF0136"/>
    <w:rsid w:val="00AF3BF5"/>
    <w:rsid w:val="00B0562D"/>
    <w:rsid w:val="00B125C5"/>
    <w:rsid w:val="00B349BB"/>
    <w:rsid w:val="00B47FF0"/>
    <w:rsid w:val="00B508AC"/>
    <w:rsid w:val="00B82461"/>
    <w:rsid w:val="00B83514"/>
    <w:rsid w:val="00B846DF"/>
    <w:rsid w:val="00B909D2"/>
    <w:rsid w:val="00BA0308"/>
    <w:rsid w:val="00BD6D8E"/>
    <w:rsid w:val="00C17384"/>
    <w:rsid w:val="00C25CFC"/>
    <w:rsid w:val="00C34E20"/>
    <w:rsid w:val="00C46D30"/>
    <w:rsid w:val="00C71D68"/>
    <w:rsid w:val="00CF0E4D"/>
    <w:rsid w:val="00D21760"/>
    <w:rsid w:val="00D4719C"/>
    <w:rsid w:val="00D5105A"/>
    <w:rsid w:val="00D52691"/>
    <w:rsid w:val="00D66A08"/>
    <w:rsid w:val="00D92170"/>
    <w:rsid w:val="00DE67D3"/>
    <w:rsid w:val="00DE6AA1"/>
    <w:rsid w:val="00DF545E"/>
    <w:rsid w:val="00E45A35"/>
    <w:rsid w:val="00E50720"/>
    <w:rsid w:val="00E61474"/>
    <w:rsid w:val="00E77752"/>
    <w:rsid w:val="00EA6450"/>
    <w:rsid w:val="00EE1E98"/>
    <w:rsid w:val="00EE2E46"/>
    <w:rsid w:val="00F030E6"/>
    <w:rsid w:val="00F0664E"/>
    <w:rsid w:val="00F409E7"/>
    <w:rsid w:val="00F42C62"/>
    <w:rsid w:val="00F84083"/>
    <w:rsid w:val="00FA0237"/>
    <w:rsid w:val="00FA4CFD"/>
    <w:rsid w:val="00FB27BD"/>
    <w:rsid w:val="00FB6D5B"/>
    <w:rsid w:val="00FB7073"/>
    <w:rsid w:val="00FD315E"/>
    <w:rsid w:val="00FD6A47"/>
    <w:rsid w:val="14DA31BD"/>
    <w:rsid w:val="156E30E2"/>
    <w:rsid w:val="19314B52"/>
    <w:rsid w:val="276C144B"/>
    <w:rsid w:val="2DD1025A"/>
    <w:rsid w:val="459C0C74"/>
    <w:rsid w:val="4D15769F"/>
    <w:rsid w:val="59904070"/>
    <w:rsid w:val="5A901436"/>
    <w:rsid w:val="615A681C"/>
    <w:rsid w:val="63EF49BB"/>
    <w:rsid w:val="6FDD0B13"/>
    <w:rsid w:val="722022E1"/>
    <w:rsid w:val="76C0277E"/>
    <w:rsid w:val="77045D49"/>
    <w:rsid w:val="EFDF5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pPr>
    <w:rPr>
      <w:sz w:val="18"/>
      <w:szCs w:val="18"/>
    </w:rPr>
  </w:style>
  <w:style w:type="paragraph" w:styleId="3">
    <w:name w:val="header"/>
    <w:basedOn w:val="1"/>
    <w:link w:val="10"/>
    <w:unhideWhenUsed/>
    <w:qFormat/>
    <w:uiPriority w:val="99"/>
    <w:pP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style>
  <w:style w:type="paragraph" w:customStyle="1" w:styleId="9">
    <w:name w:val="Table Paragraph"/>
    <w:basedOn w:val="1"/>
    <w:qFormat/>
    <w:uiPriority w:val="1"/>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868</Words>
  <Characters>917</Characters>
  <Lines>1181</Lines>
  <Paragraphs>409</Paragraphs>
  <TotalTime>57</TotalTime>
  <ScaleCrop>false</ScaleCrop>
  <LinksUpToDate>false</LinksUpToDate>
  <CharactersWithSpaces>976</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2026-10-13T09:17:00Z</dcterms:created>
  <dc:creator>abcd</dc:creator>
  <cp:lastModifiedBy>qjzyy</cp:lastModifiedBy>
  <cp:lastPrinted>2026-06-09T11:31:00Z</cp:lastPrinted>
  <dcterms:modified xsi:type="dcterms:W3CDTF">2026-10-16T09:30:30Z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2026-03-19T00:00:00Z</vt:filetime>
  </property>
  <property fmtid="{D5CDD505-2E9C-101B-9397-08002B2CF9AE}" pid="3" name="Creator">
    <vt:lpwstr>WPS 表格</vt:lpwstr>
  </property>
  <property fmtid="{D5CDD505-2E9C-101B-9397-08002B2CF9AE}" pid="4" name="LastSaved">
    <vt:filetime>2026-04-02T00:00:00Z</vt:filetime>
  </property>
  <property fmtid="{D5CDD505-2E9C-101B-9397-08002B2CF9AE}" pid="5" name="KSOTemplateDocerSaveRecord">
    <vt:lpwstr>eyJoZGlkIjoiZDZhZGM2OWE0NzUzNzcyYjNkYzI4NWQ1YzVkNGM3MWEiLCJ1c2VySWQiOiIyODYyNzgyNzEifQ==</vt:lpwstr>
  </property>
  <property fmtid="{D5CDD505-2E9C-101B-9397-08002B2CF9AE}" pid="6" name="KSOProductBuildVer">
    <vt:lpwstr>2052-11.1.0.11719</vt:lpwstr>
  </property>
  <property fmtid="{D5CDD505-2E9C-101B-9397-08002B2CF9AE}" pid="7" name="ICV">
    <vt:lpwstr>37F7B5D892EA4ECCB96AF50FF3EFA7E6_12</vt:lpwstr>
  </property>
</Properties>
</file>