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5F2210">
      <w:pPr>
        <w:spacing w:before="0" w:after="360" w:line="360" w:lineRule="auto"/>
        <w:jc w:val="left"/>
        <w:rPr>
          <w:rFonts w:ascii="Times New Roman" w:hAnsi="Times New Roman" w:eastAsia="黑体"/>
          <w:b/>
          <w:color w:val="000000"/>
          <w:sz w:val="32"/>
          <w:woUserID w:val="1"/>
        </w:rPr>
      </w:pPr>
      <w:r>
        <w:rPr>
          <w:rFonts w:ascii="Times New Roman" w:hAnsi="Times New Roman" w:eastAsia="黑体"/>
          <w:b/>
          <w:color w:val="000000"/>
          <w:sz w:val="32"/>
          <w:szCs w:val="32"/>
        </w:rPr>
        <w:t>附件</w:t>
      </w:r>
      <w:r>
        <w:rPr>
          <w:rFonts w:eastAsia="黑体"/>
          <w:b/>
          <w:color w:val="000000"/>
          <w:sz w:val="32"/>
          <w:szCs w:val="32"/>
          <w:woUserID w:val="1"/>
        </w:rPr>
        <w:t>1</w:t>
      </w:r>
      <w:r>
        <w:rPr>
          <w:rFonts w:ascii="Times New Roman" w:hAnsi="Times New Roman" w:eastAsia="黑体"/>
          <w:b/>
          <w:color w:val="000000"/>
          <w:sz w:val="32"/>
          <w:szCs w:val="32"/>
        </w:rPr>
        <w:t>：</w:t>
      </w:r>
      <w:r>
        <w:rPr>
          <w:rFonts w:ascii="Times New Roman" w:hAnsi="Times New Roman" w:eastAsia="黑体"/>
          <w:b/>
          <w:color w:val="000000"/>
          <w:sz w:val="32"/>
          <w:woUserID w:val="1"/>
        </w:rPr>
        <w:t>采购需求（技术参数）</w:t>
      </w:r>
    </w:p>
    <w:p w14:paraId="2ECE082D">
      <w:pPr>
        <w:spacing w:before="0" w:after="360" w:line="360" w:lineRule="auto"/>
        <w:jc w:val="center"/>
      </w:pPr>
      <w:r>
        <w:rPr>
          <w:rFonts w:ascii="Times New Roman" w:hAnsi="Times New Roman" w:eastAsia="黑体"/>
          <w:b/>
          <w:color w:val="000000"/>
          <w:sz w:val="36"/>
        </w:rPr>
        <w:t>家庭医生基层中医药服务能力提升线上培训项目</w:t>
      </w:r>
    </w:p>
    <w:p w14:paraId="7CF47A8C">
      <w:pPr>
        <w:spacing w:before="0" w:after="0" w:line="360" w:lineRule="auto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本需求作为院内议价评审依据，供应商须逐项响应，不满足项须单独注明。</w:t>
      </w:r>
    </w:p>
    <w:p w14:paraId="59C06C31">
      <w:pPr>
        <w:spacing w:before="280" w:after="120" w:line="360" w:lineRule="auto"/>
        <w:ind w:firstLine="480"/>
      </w:pPr>
      <w:r>
        <w:rPr>
          <w:rFonts w:ascii="Times New Roman" w:hAnsi="Times New Roman" w:eastAsia="黑体"/>
          <w:b/>
          <w:color w:val="000000"/>
          <w:sz w:val="32"/>
        </w:rPr>
        <w:t>一、项目基本信息</w:t>
      </w:r>
    </w:p>
    <w:p w14:paraId="52B77E70">
      <w:pPr>
        <w:spacing w:before="0" w:after="0" w:line="360" w:lineRule="auto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1.项目名称：家庭医生基层中医药服务能力提升线上培训项目；</w:t>
      </w:r>
    </w:p>
    <w:p w14:paraId="4EC8B426">
      <w:pPr>
        <w:spacing w:before="0" w:after="0" w:line="360" w:lineRule="auto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2.服务对象：130个家庭医生签约团队，参训人员约800人；</w:t>
      </w:r>
    </w:p>
    <w:p w14:paraId="51078766">
      <w:pPr>
        <w:spacing w:before="0" w:after="0" w:line="360" w:lineRule="auto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3.培训形式：线上平台学习加线上考核，支持移动端、电脑端学习，课程支持回放；</w:t>
      </w:r>
    </w:p>
    <w:p w14:paraId="481522C8">
      <w:pPr>
        <w:spacing w:before="0" w:after="0" w:line="360" w:lineRule="auto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4.培训模块：中医药适宜技术培训、三基理论考试、基础技能培训三大模块；</w:t>
      </w:r>
    </w:p>
    <w:p w14:paraId="7F042507">
      <w:pPr>
        <w:spacing w:before="0" w:after="0" w:line="360" w:lineRule="auto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5.服务周期：合同签订后</w:t>
      </w:r>
      <w:r>
        <w:rPr>
          <w:rFonts w:hint="eastAsia"/>
          <w:b w:val="0"/>
          <w:color w:val="000000"/>
          <w:sz w:val="24"/>
          <w:u w:val="single"/>
          <w:lang w:val="en-US" w:eastAsia="zh-CN"/>
        </w:rPr>
        <w:t xml:space="preserve">  12  </w:t>
      </w:r>
      <w:r>
        <w:rPr>
          <w:rFonts w:ascii="Times New Roman" w:hAnsi="Times New Roman" w:eastAsia="宋体"/>
          <w:b w:val="0"/>
          <w:color w:val="000000"/>
          <w:sz w:val="24"/>
        </w:rPr>
        <w:t>个月内完成培训、考核、数据汇总及资料归档。</w:t>
      </w:r>
    </w:p>
    <w:p w14:paraId="1007D725">
      <w:pPr>
        <w:spacing w:before="280" w:after="120" w:line="360" w:lineRule="auto"/>
        <w:ind w:firstLine="480"/>
      </w:pPr>
      <w:r>
        <w:rPr>
          <w:rFonts w:ascii="Times New Roman" w:hAnsi="Times New Roman" w:eastAsia="黑体"/>
          <w:b/>
          <w:color w:val="000000"/>
          <w:sz w:val="32"/>
        </w:rPr>
        <w:t>二、平台功能要求</w:t>
      </w:r>
    </w:p>
    <w:p w14:paraId="3BD1C9D9">
      <w:pPr>
        <w:spacing w:before="0" w:after="0" w:line="360" w:lineRule="auto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注：标注★的为核心要求，必须满足。</w:t>
      </w:r>
    </w:p>
    <w:tbl>
      <w:tblPr>
        <w:tblStyle w:val="3"/>
        <w:tblW w:w="907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0"/>
        <w:gridCol w:w="1701"/>
        <w:gridCol w:w="6520"/>
      </w:tblGrid>
      <w:tr w14:paraId="631CBF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  <w:jc w:val="center"/>
        </w:trPr>
        <w:tc>
          <w:tcPr>
            <w:tcW w:w="850" w:type="dxa"/>
            <w:shd w:val="clear" w:color="auto" w:fill="D9D9D9"/>
            <w:vAlign w:val="center"/>
          </w:tcPr>
          <w:p w14:paraId="1E4FE153">
            <w:pPr>
              <w:spacing w:before="40" w:after="40" w:line="240" w:lineRule="auto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序号</w:t>
            </w:r>
          </w:p>
        </w:tc>
        <w:tc>
          <w:tcPr>
            <w:tcW w:w="1701" w:type="dxa"/>
            <w:shd w:val="clear" w:color="auto" w:fill="D9D9D9"/>
            <w:vAlign w:val="center"/>
          </w:tcPr>
          <w:p w14:paraId="7976BFD7">
            <w:pPr>
              <w:spacing w:before="40" w:after="40" w:line="240" w:lineRule="auto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项目</w:t>
            </w:r>
          </w:p>
        </w:tc>
        <w:tc>
          <w:tcPr>
            <w:tcW w:w="6520" w:type="dxa"/>
            <w:shd w:val="clear" w:color="auto" w:fill="D9D9D9"/>
            <w:vAlign w:val="center"/>
          </w:tcPr>
          <w:p w14:paraId="69B62CEF">
            <w:pPr>
              <w:spacing w:before="40" w:after="40" w:line="240" w:lineRule="auto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技术及服务要求</w:t>
            </w:r>
          </w:p>
        </w:tc>
      </w:tr>
      <w:tr w14:paraId="1690ED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850" w:type="dxa"/>
            <w:vAlign w:val="center"/>
          </w:tcPr>
          <w:p w14:paraId="3E3FBA78">
            <w:pPr>
              <w:spacing w:before="40" w:after="4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w="1701" w:type="dxa"/>
            <w:vAlign w:val="center"/>
          </w:tcPr>
          <w:p w14:paraId="5161CEA6">
            <w:pPr>
              <w:spacing w:before="40" w:after="40" w:line="240" w:lineRule="auto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账号管理★</w:t>
            </w:r>
          </w:p>
        </w:tc>
        <w:tc>
          <w:tcPr>
            <w:tcW w:w="6520" w:type="dxa"/>
            <w:vAlign w:val="center"/>
          </w:tcPr>
          <w:p w14:paraId="6955D16A">
            <w:pPr>
              <w:spacing w:before="40" w:after="40" w:line="240" w:lineRule="auto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支持批量导入800名学员信息，支持单独增删学员</w:t>
            </w:r>
            <w:r>
              <w:rPr>
                <w:rFonts w:hint="eastAsia"/>
                <w:b w:val="0"/>
                <w:color w:val="000000"/>
                <w:sz w:val="21"/>
                <w:lang w:eastAsia="zh-CN"/>
              </w:rPr>
              <w:t>，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可设置学员权限。</w:t>
            </w:r>
          </w:p>
        </w:tc>
      </w:tr>
      <w:tr w14:paraId="5CB97E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850" w:type="dxa"/>
            <w:vAlign w:val="center"/>
          </w:tcPr>
          <w:p w14:paraId="72CE9141">
            <w:pPr>
              <w:spacing w:before="40" w:after="4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w="1701" w:type="dxa"/>
            <w:vAlign w:val="center"/>
          </w:tcPr>
          <w:p w14:paraId="63753851">
            <w:pPr>
              <w:spacing w:before="40" w:after="40" w:line="240" w:lineRule="auto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学习管理★</w:t>
            </w:r>
          </w:p>
        </w:tc>
        <w:tc>
          <w:tcPr>
            <w:tcW w:w="6520" w:type="dxa"/>
            <w:vAlign w:val="center"/>
          </w:tcPr>
          <w:p w14:paraId="5CEA5371">
            <w:pPr>
              <w:spacing w:before="40" w:after="40" w:line="240" w:lineRule="auto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支持课程点播、进度记录、学时自动累计</w:t>
            </w:r>
            <w:r>
              <w:rPr>
                <w:rFonts w:hint="eastAsia"/>
                <w:b w:val="0"/>
                <w:color w:val="000000"/>
                <w:sz w:val="21"/>
                <w:lang w:eastAsia="zh-CN"/>
              </w:rPr>
              <w:t>，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可查看个人学习进度及未完成学员清单。</w:t>
            </w:r>
          </w:p>
        </w:tc>
      </w:tr>
      <w:tr w14:paraId="2DEB18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850" w:type="dxa"/>
            <w:vAlign w:val="center"/>
          </w:tcPr>
          <w:p w14:paraId="3617E348">
            <w:pPr>
              <w:spacing w:before="40" w:after="4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w="1701" w:type="dxa"/>
            <w:vAlign w:val="center"/>
          </w:tcPr>
          <w:p w14:paraId="1CBF2703">
            <w:pPr>
              <w:spacing w:before="40" w:after="40" w:line="240" w:lineRule="auto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课程回放★</w:t>
            </w:r>
          </w:p>
        </w:tc>
        <w:tc>
          <w:tcPr>
            <w:tcW w:w="6520" w:type="dxa"/>
            <w:vAlign w:val="center"/>
          </w:tcPr>
          <w:p w14:paraId="68DC3793">
            <w:pPr>
              <w:spacing w:before="40" w:after="40" w:line="240" w:lineRule="auto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全部课程支持不限次回放，回放有效期不少于服务周期。</w:t>
            </w:r>
          </w:p>
        </w:tc>
      </w:tr>
      <w:tr w14:paraId="76C9D2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850" w:type="dxa"/>
            <w:vAlign w:val="center"/>
          </w:tcPr>
          <w:p w14:paraId="21762869">
            <w:pPr>
              <w:spacing w:before="40" w:after="4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w="1701" w:type="dxa"/>
            <w:vAlign w:val="center"/>
          </w:tcPr>
          <w:p w14:paraId="62CED7D4">
            <w:pPr>
              <w:spacing w:before="40" w:after="40" w:line="240" w:lineRule="auto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题库与在线考试★</w:t>
            </w:r>
          </w:p>
        </w:tc>
        <w:tc>
          <w:tcPr>
            <w:tcW w:w="6520" w:type="dxa"/>
            <w:vAlign w:val="center"/>
          </w:tcPr>
          <w:p w14:paraId="780C762A">
            <w:pPr>
              <w:spacing w:before="40" w:after="40" w:line="240" w:lineRule="auto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配套对应培训题库，支持自动组卷、手动组卷；支持限时考试、防作弊设置（切屏提醒、限时交卷）；自动阅卷，即时出分。</w:t>
            </w:r>
          </w:p>
        </w:tc>
      </w:tr>
      <w:tr w14:paraId="173C32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850" w:type="dxa"/>
            <w:vAlign w:val="center"/>
          </w:tcPr>
          <w:p w14:paraId="42DECECC">
            <w:pPr>
              <w:spacing w:before="40" w:after="4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w="1701" w:type="dxa"/>
            <w:vAlign w:val="center"/>
          </w:tcPr>
          <w:p w14:paraId="1EB20F10">
            <w:pPr>
              <w:spacing w:before="40" w:after="40" w:line="240" w:lineRule="auto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数据统计与导出★</w:t>
            </w:r>
          </w:p>
        </w:tc>
        <w:tc>
          <w:tcPr>
            <w:tcW w:w="6520" w:type="dxa"/>
            <w:vAlign w:val="center"/>
          </w:tcPr>
          <w:p w14:paraId="0AADF5F5">
            <w:pPr>
              <w:spacing w:before="40" w:after="40" w:line="240" w:lineRule="auto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可按个人、团队、科室多维度统计参训率、学时完成率、考试成绩、合格率；支持导出Excel台账、培训汇总报表，可直接用于项目验收材料。</w:t>
            </w:r>
          </w:p>
        </w:tc>
      </w:tr>
      <w:tr w14:paraId="11F788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850" w:type="dxa"/>
            <w:vAlign w:val="center"/>
          </w:tcPr>
          <w:p w14:paraId="61882502">
            <w:pPr>
              <w:spacing w:before="40" w:after="4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w="1701" w:type="dxa"/>
            <w:vAlign w:val="center"/>
          </w:tcPr>
          <w:p w14:paraId="6643D93B">
            <w:pPr>
              <w:spacing w:before="40" w:after="40" w:line="240" w:lineRule="auto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后台管理</w:t>
            </w:r>
          </w:p>
        </w:tc>
        <w:tc>
          <w:tcPr>
            <w:tcW w:w="6520" w:type="dxa"/>
            <w:vAlign w:val="center"/>
          </w:tcPr>
          <w:p w14:paraId="50219B18">
            <w:pPr>
              <w:spacing w:before="40" w:after="40" w:line="240" w:lineRule="auto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提供管理账号，</w:t>
            </w:r>
            <w:r>
              <w:rPr>
                <w:rFonts w:hint="eastAsia"/>
                <w:b w:val="0"/>
                <w:color w:val="000000"/>
                <w:sz w:val="21"/>
                <w:lang w:val="en-US" w:eastAsia="zh-CN"/>
              </w:rPr>
              <w:t>医院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工作人员可自主查看全部培训数据，无需依赖供应商后台查询。</w:t>
            </w:r>
          </w:p>
        </w:tc>
      </w:tr>
      <w:tr w14:paraId="469CE5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850" w:type="dxa"/>
            <w:vAlign w:val="center"/>
          </w:tcPr>
          <w:p w14:paraId="49251D18">
            <w:pPr>
              <w:spacing w:before="40" w:after="4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</w:t>
            </w:r>
          </w:p>
        </w:tc>
        <w:tc>
          <w:tcPr>
            <w:tcW w:w="1701" w:type="dxa"/>
            <w:vAlign w:val="center"/>
          </w:tcPr>
          <w:p w14:paraId="10874288">
            <w:pPr>
              <w:spacing w:before="40" w:after="40" w:line="240" w:lineRule="auto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系统稳定性</w:t>
            </w:r>
          </w:p>
        </w:tc>
        <w:tc>
          <w:tcPr>
            <w:tcW w:w="6520" w:type="dxa"/>
            <w:vAlign w:val="center"/>
          </w:tcPr>
          <w:p w14:paraId="078B1528">
            <w:pPr>
              <w:spacing w:before="40" w:after="40" w:line="240" w:lineRule="auto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平台保证培训期间稳定运行，支持不低于800人同时在线学习、考试；出现故障30分钟内响应处置。</w:t>
            </w:r>
          </w:p>
        </w:tc>
      </w:tr>
    </w:tbl>
    <w:p w14:paraId="47F9B409">
      <w:pPr>
        <w:spacing w:before="280" w:after="120" w:line="360" w:lineRule="auto"/>
        <w:ind w:firstLine="480"/>
      </w:pPr>
      <w:r>
        <w:rPr>
          <w:rFonts w:ascii="Times New Roman" w:hAnsi="Times New Roman" w:eastAsia="黑体"/>
          <w:b/>
          <w:color w:val="000000"/>
          <w:sz w:val="32"/>
        </w:rPr>
        <w:t>三、课程内容及师资要求</w:t>
      </w:r>
    </w:p>
    <w:p w14:paraId="25A428D8">
      <w:pPr>
        <w:spacing w:before="0" w:after="0" w:line="360" w:lineRule="auto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注：标注★的为核心要求，必须满足。</w:t>
      </w:r>
    </w:p>
    <w:p w14:paraId="7EA3FED9">
      <w:pPr>
        <w:spacing w:before="220" w:after="100" w:line="360" w:lineRule="auto"/>
        <w:ind w:firstLine="480"/>
      </w:pPr>
      <w:r>
        <w:rPr>
          <w:rFonts w:ascii="Times New Roman" w:hAnsi="Times New Roman" w:eastAsia="黑体"/>
          <w:b/>
          <w:color w:val="000000"/>
          <w:sz w:val="28"/>
        </w:rPr>
        <w:t>（一）课程设置要求</w:t>
      </w:r>
    </w:p>
    <w:p w14:paraId="200DBD97">
      <w:pPr>
        <w:spacing w:before="0" w:after="0" w:line="360" w:lineRule="auto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总课时不少于</w:t>
      </w:r>
      <w:r>
        <w:rPr>
          <w:rFonts w:hint="eastAsia"/>
          <w:b w:val="0"/>
          <w:color w:val="000000"/>
          <w:sz w:val="24"/>
          <w:u w:val="single"/>
          <w:lang w:val="en-US" w:eastAsia="zh-CN"/>
        </w:rPr>
        <w:t xml:space="preserve">   80   </w:t>
      </w:r>
      <w:r>
        <w:rPr>
          <w:rFonts w:ascii="Times New Roman" w:hAnsi="Times New Roman" w:eastAsia="宋体"/>
          <w:b w:val="0"/>
          <w:color w:val="000000"/>
          <w:sz w:val="24"/>
        </w:rPr>
        <w:t>学时。</w:t>
      </w:r>
    </w:p>
    <w:p w14:paraId="2BF8B03F">
      <w:pPr>
        <w:spacing w:before="220" w:after="100" w:line="360" w:lineRule="auto"/>
        <w:ind w:firstLine="480"/>
        <w:rPr>
          <w:rFonts w:hint="eastAsia" w:eastAsia="黑体"/>
          <w:lang w:eastAsia="zh-CN"/>
        </w:rPr>
      </w:pPr>
      <w:r>
        <w:rPr>
          <w:rFonts w:ascii="Times New Roman" w:hAnsi="Times New Roman" w:eastAsia="黑体"/>
          <w:b/>
          <w:color w:val="000000"/>
          <w:sz w:val="28"/>
        </w:rPr>
        <w:t>1.中医药适宜技术模块</w:t>
      </w:r>
      <w:r>
        <w:rPr>
          <w:rFonts w:hint="eastAsia" w:eastAsia="黑体"/>
          <w:b/>
          <w:color w:val="000000"/>
          <w:sz w:val="28"/>
          <w:lang w:eastAsia="zh-CN"/>
        </w:rPr>
        <w:t>（</w:t>
      </w:r>
      <w:r>
        <w:rPr>
          <w:rFonts w:ascii="Times New Roman" w:hAnsi="Times New Roman" w:eastAsia="宋体"/>
          <w:b w:val="0"/>
          <w:color w:val="000000"/>
          <w:sz w:val="24"/>
        </w:rPr>
        <w:t>★</w:t>
      </w:r>
      <w:r>
        <w:rPr>
          <w:rFonts w:hint="eastAsia" w:eastAsia="黑体"/>
          <w:b/>
          <w:color w:val="000000"/>
          <w:sz w:val="28"/>
          <w:lang w:eastAsia="zh-CN"/>
        </w:rPr>
        <w:t>）</w:t>
      </w:r>
    </w:p>
    <w:p w14:paraId="470DBBC2">
      <w:pPr>
        <w:spacing w:before="0" w:after="0" w:line="360" w:lineRule="auto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基层常用适宜技术规范操作：</w:t>
      </w:r>
      <w:r>
        <w:rPr>
          <w:rFonts w:hint="eastAsia"/>
          <w:b w:val="0"/>
          <w:color w:val="000000"/>
          <w:sz w:val="24"/>
          <w:lang w:val="en-US" w:eastAsia="zh-CN"/>
        </w:rPr>
        <w:t>针刺类、推拿类、刮痧砭术类、拔罐类、灸类、敷熨熏浴类、中医微创类、骨伤科、肛肠科、气功类、其他类等；</w:t>
      </w:r>
      <w:r>
        <w:rPr>
          <w:rFonts w:ascii="Times New Roman" w:hAnsi="Times New Roman" w:eastAsia="宋体"/>
          <w:b w:val="0"/>
          <w:color w:val="000000"/>
          <w:sz w:val="24"/>
        </w:rPr>
        <w:t>各技术适应症、禁忌症、操作流程及不良事件风险防范；结合家庭医生上门服务、签约居民健康管理场景的实操要点；培训及考核合格后生成培训证书。</w:t>
      </w:r>
    </w:p>
    <w:p w14:paraId="3A86C161">
      <w:pPr>
        <w:spacing w:before="220" w:after="100" w:line="360" w:lineRule="auto"/>
        <w:ind w:firstLine="480"/>
      </w:pPr>
      <w:r>
        <w:rPr>
          <w:rFonts w:ascii="Times New Roman" w:hAnsi="Times New Roman" w:eastAsia="黑体"/>
          <w:b/>
          <w:color w:val="000000"/>
          <w:sz w:val="28"/>
        </w:rPr>
        <w:t>2.三基理论考试模块</w:t>
      </w:r>
    </w:p>
    <w:p w14:paraId="315B7A13">
      <w:pPr>
        <w:spacing w:before="0" w:after="0" w:line="360" w:lineRule="auto"/>
        <w:ind w:firstLine="480"/>
        <w:jc w:val="both"/>
        <w:rPr>
          <w:rFonts w:ascii="Times New Roman" w:hAnsi="Times New Roman" w:eastAsia="宋体"/>
          <w:b w:val="0"/>
          <w:color w:val="000000"/>
          <w:sz w:val="24"/>
        </w:rPr>
      </w:pPr>
      <w:r>
        <w:rPr>
          <w:rFonts w:hint="eastAsia" w:ascii="Times New Roman" w:hAnsi="Times New Roman" w:eastAsia="宋体"/>
          <w:b w:val="0"/>
          <w:color w:val="000000"/>
          <w:sz w:val="24"/>
        </w:rPr>
        <w:t>涵盖11个专业（中医、西医、检验、中药、西药、放射、超声、康复、口腔、公卫、护理）</w:t>
      </w:r>
      <w:r>
        <w:rPr>
          <w:rFonts w:hint="eastAsia"/>
          <w:b w:val="0"/>
          <w:color w:val="000000"/>
          <w:sz w:val="24"/>
          <w:lang w:val="en-US" w:eastAsia="zh-CN"/>
        </w:rPr>
        <w:t>基本知识，</w:t>
      </w:r>
      <w:r>
        <w:rPr>
          <w:rFonts w:hint="eastAsia" w:ascii="Times New Roman" w:hAnsi="Times New Roman" w:eastAsia="宋体"/>
          <w:b w:val="0"/>
          <w:color w:val="000000"/>
          <w:sz w:val="24"/>
        </w:rPr>
        <w:t>分</w:t>
      </w:r>
      <w:r>
        <w:rPr>
          <w:rFonts w:hint="eastAsia"/>
          <w:b w:val="0"/>
          <w:color w:val="000000"/>
          <w:sz w:val="24"/>
          <w:lang w:val="en-US" w:eastAsia="zh-CN"/>
        </w:rPr>
        <w:t>专业</w:t>
      </w:r>
      <w:r>
        <w:rPr>
          <w:rFonts w:hint="eastAsia" w:ascii="Times New Roman" w:hAnsi="Times New Roman" w:eastAsia="宋体"/>
          <w:b w:val="0"/>
          <w:color w:val="000000"/>
          <w:sz w:val="24"/>
        </w:rPr>
        <w:t>每季度组织1次考试；</w:t>
      </w:r>
    </w:p>
    <w:p w14:paraId="5925E8D9">
      <w:pPr>
        <w:spacing w:before="220" w:after="100" w:line="360" w:lineRule="auto"/>
        <w:ind w:firstLine="480"/>
      </w:pPr>
      <w:r>
        <w:rPr>
          <w:rFonts w:ascii="Times New Roman" w:hAnsi="Times New Roman" w:eastAsia="黑体"/>
          <w:b/>
          <w:color w:val="000000"/>
          <w:sz w:val="28"/>
        </w:rPr>
        <w:t>3.基础技能模块</w:t>
      </w:r>
    </w:p>
    <w:p w14:paraId="0FD10FD3">
      <w:pPr>
        <w:spacing w:before="0" w:after="0" w:line="360" w:lineRule="auto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包括中医四诊（望、闻、问、切）实操要点，</w:t>
      </w:r>
      <w:r>
        <w:rPr>
          <w:rFonts w:hint="eastAsia"/>
          <w:b w:val="0"/>
          <w:color w:val="000000"/>
          <w:sz w:val="24"/>
          <w:lang w:val="en-US" w:eastAsia="zh-CN"/>
        </w:rPr>
        <w:t>针刺类、推拿类、刮痧砭术类、拔罐类、灸类、敷熨熏浴类、中医微创类、骨伤科、肛肠科、气功类、其他类等</w:t>
      </w:r>
      <w:r>
        <w:rPr>
          <w:rFonts w:ascii="Times New Roman" w:hAnsi="Times New Roman" w:eastAsia="宋体"/>
          <w:b w:val="0"/>
          <w:color w:val="000000"/>
          <w:sz w:val="24"/>
        </w:rPr>
        <w:t>常用中医适宜技术规范操作，体温、脉搏、呼吸、血压测量，体格检查规范操作，无菌操作与手卫生，心肺复苏</w:t>
      </w:r>
      <w:r>
        <w:rPr>
          <w:rFonts w:hint="eastAsia"/>
          <w:b w:val="0"/>
          <w:color w:val="000000"/>
          <w:sz w:val="24"/>
          <w:lang w:eastAsia="zh-CN"/>
        </w:rPr>
        <w:t>，</w:t>
      </w:r>
      <w:r>
        <w:rPr>
          <w:rFonts w:hint="eastAsia"/>
          <w:b w:val="0"/>
          <w:color w:val="000000"/>
          <w:sz w:val="24"/>
          <w:lang w:val="en-US" w:eastAsia="zh-CN"/>
        </w:rPr>
        <w:t>导尿，胃管植入，四大穿刺（胸腔、腹腔、腰椎、骨髓），切开缝合换药等技能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 w14:paraId="2072DFDC">
      <w:pPr>
        <w:spacing w:before="220" w:after="100" w:line="360" w:lineRule="auto"/>
        <w:ind w:firstLine="480"/>
      </w:pPr>
      <w:r>
        <w:rPr>
          <w:rFonts w:ascii="Times New Roman" w:hAnsi="Times New Roman" w:eastAsia="黑体"/>
          <w:b/>
          <w:color w:val="000000"/>
          <w:sz w:val="28"/>
        </w:rPr>
        <w:t>（二）师资要求</w:t>
      </w:r>
    </w:p>
    <w:p w14:paraId="59A04BD3">
      <w:pPr>
        <w:spacing w:before="0" w:after="0" w:line="360" w:lineRule="auto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授课专家为中医药专业副高级及以上职称，具备基层中医药培训授课经验；供应商须提供师资简历、职称证明材料。</w:t>
      </w:r>
    </w:p>
    <w:p w14:paraId="01DFB09C">
      <w:pPr>
        <w:spacing w:before="220" w:after="100" w:line="360" w:lineRule="auto"/>
        <w:ind w:firstLine="480"/>
      </w:pPr>
      <w:r>
        <w:rPr>
          <w:rFonts w:ascii="Times New Roman" w:hAnsi="Times New Roman" w:eastAsia="黑体"/>
          <w:b/>
          <w:color w:val="000000"/>
          <w:sz w:val="28"/>
        </w:rPr>
        <w:t>（三）课程交付要求</w:t>
      </w:r>
    </w:p>
    <w:p w14:paraId="4159BF5A">
      <w:pPr>
        <w:spacing w:before="0" w:after="0" w:line="360" w:lineRule="auto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课程视频画面清晰、声音清楚；配套电子课件（PPT）供学员查阅；提供课程目录清单。</w:t>
      </w:r>
    </w:p>
    <w:p w14:paraId="65C705DA">
      <w:pPr>
        <w:spacing w:before="280" w:after="120" w:line="360" w:lineRule="auto"/>
        <w:ind w:firstLine="480"/>
      </w:pPr>
      <w:r>
        <w:rPr>
          <w:rFonts w:ascii="Times New Roman" w:hAnsi="Times New Roman" w:eastAsia="黑体"/>
          <w:b/>
          <w:color w:val="000000"/>
          <w:sz w:val="32"/>
        </w:rPr>
        <w:t>四、培训配套服务要求</w:t>
      </w:r>
    </w:p>
    <w:p w14:paraId="33F7E429">
      <w:pPr>
        <w:spacing w:before="220" w:after="100" w:line="360" w:lineRule="auto"/>
        <w:ind w:firstLine="480"/>
      </w:pPr>
      <w:r>
        <w:rPr>
          <w:rFonts w:ascii="Times New Roman" w:hAnsi="Times New Roman" w:eastAsia="黑体"/>
          <w:b/>
          <w:color w:val="000000"/>
          <w:sz w:val="28"/>
        </w:rPr>
        <w:t>1.前期服务</w:t>
      </w:r>
    </w:p>
    <w:p w14:paraId="2721B74D">
      <w:pPr>
        <w:spacing w:before="0" w:after="0" w:line="360" w:lineRule="auto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协助采购人完成学员信息批量导入、分组；提供管理员操作培训，指导我院工作人员使用后台；培训前测试平台，组织试学、模拟考试。</w:t>
      </w:r>
    </w:p>
    <w:p w14:paraId="1D11DC0E">
      <w:pPr>
        <w:spacing w:before="220" w:after="100" w:line="360" w:lineRule="auto"/>
        <w:ind w:firstLine="480"/>
      </w:pPr>
      <w:r>
        <w:rPr>
          <w:rFonts w:ascii="Times New Roman" w:hAnsi="Times New Roman" w:eastAsia="黑体"/>
          <w:b/>
          <w:color w:val="000000"/>
          <w:sz w:val="28"/>
        </w:rPr>
        <w:t>2.过程服务</w:t>
      </w:r>
    </w:p>
    <w:p w14:paraId="7674BBEC">
      <w:pPr>
        <w:spacing w:before="0" w:after="0" w:line="360" w:lineRule="auto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培训期间配备专人对接，及时处理学员登录、学习、考试问题；定期推送学习提醒，按团队通报学习进度。</w:t>
      </w:r>
    </w:p>
    <w:p w14:paraId="64234649">
      <w:pPr>
        <w:spacing w:before="220" w:after="100" w:line="360" w:lineRule="auto"/>
        <w:ind w:firstLine="480"/>
      </w:pPr>
      <w:r>
        <w:rPr>
          <w:rFonts w:ascii="Times New Roman" w:hAnsi="Times New Roman" w:eastAsia="黑体"/>
          <w:b/>
          <w:color w:val="000000"/>
          <w:sz w:val="28"/>
        </w:rPr>
        <w:t>3.收尾及验收服务</w:t>
      </w:r>
    </w:p>
    <w:p w14:paraId="4D62B22F">
      <w:pPr>
        <w:spacing w:before="0" w:after="0" w:line="360" w:lineRule="auto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项目结束后，提供完整培训总结（含参训情况、成绩分析、培训小结）；全套台账资料电子版移交采购人；培训资料留存不少于1年。</w:t>
      </w:r>
    </w:p>
    <w:p w14:paraId="1F004F51">
      <w:pPr>
        <w:spacing w:before="220" w:after="100" w:line="360" w:lineRule="auto"/>
        <w:ind w:firstLine="480"/>
      </w:pPr>
      <w:r>
        <w:rPr>
          <w:rFonts w:ascii="Times New Roman" w:hAnsi="Times New Roman" w:eastAsia="黑体"/>
          <w:b/>
          <w:color w:val="000000"/>
          <w:sz w:val="28"/>
        </w:rPr>
        <w:t>4.售后服务</w:t>
      </w:r>
    </w:p>
    <w:p w14:paraId="1B7B3773">
      <w:pPr>
        <w:spacing w:before="0" w:after="0" w:line="360" w:lineRule="auto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服务期内提供</w:t>
      </w:r>
      <w:r>
        <w:rPr>
          <w:rFonts w:ascii="Times New Roman" w:hAnsi="Times New Roman" w:eastAsia="宋体"/>
          <w:b w:val="0"/>
          <w:color w:val="000000"/>
          <w:sz w:val="24"/>
          <w:u w:val="single"/>
        </w:rPr>
        <w:t>7×12小时</w:t>
      </w:r>
      <w:r>
        <w:rPr>
          <w:rFonts w:ascii="Times New Roman" w:hAnsi="Times New Roman" w:eastAsia="宋体"/>
          <w:b w:val="0"/>
          <w:color w:val="000000"/>
          <w:sz w:val="24"/>
        </w:rPr>
        <w:t>线上技术对接。</w:t>
      </w:r>
    </w:p>
    <w:p w14:paraId="722F626F">
      <w:pPr>
        <w:spacing w:before="280" w:after="120" w:line="360" w:lineRule="auto"/>
        <w:ind w:firstLine="480"/>
      </w:pPr>
      <w:r>
        <w:rPr>
          <w:rFonts w:ascii="Times New Roman" w:hAnsi="Times New Roman" w:eastAsia="黑体"/>
          <w:b/>
          <w:color w:val="000000"/>
          <w:sz w:val="32"/>
        </w:rPr>
        <w:t>五、验收标准</w:t>
      </w:r>
    </w:p>
    <w:p w14:paraId="75862E9F">
      <w:pPr>
        <w:spacing w:before="0" w:after="0" w:line="360" w:lineRule="auto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1.全部学员账号正常开通，三大模块课程按时上线；</w:t>
      </w:r>
    </w:p>
    <w:p w14:paraId="45FB15B9">
      <w:pPr>
        <w:spacing w:before="0" w:after="0" w:line="360" w:lineRule="auto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2.平台功能满足上述全部核心要求项，数据可正常导出；</w:t>
      </w:r>
    </w:p>
    <w:p w14:paraId="367CD3F0">
      <w:pPr>
        <w:spacing w:before="0" w:after="0" w:line="360" w:lineRule="auto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3.按我院要求完成全部培训、考核；</w:t>
      </w:r>
    </w:p>
    <w:p w14:paraId="28975AD8">
      <w:pPr>
        <w:spacing w:before="0" w:after="0" w:line="360" w:lineRule="auto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4.交付全套培训台账、成绩表、课程资料、培训总结报告；</w:t>
      </w:r>
    </w:p>
    <w:p w14:paraId="04513FF0">
      <w:pPr>
        <w:spacing w:before="0" w:after="0" w:line="360" w:lineRule="auto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5.采购人对培训质量、平台稳定性、服务响应进行综合验收。</w:t>
      </w:r>
    </w:p>
    <w:p w14:paraId="14B15562">
      <w:pPr>
        <w:spacing w:before="280" w:after="120" w:line="360" w:lineRule="auto"/>
        <w:ind w:firstLine="480"/>
      </w:pPr>
      <w:r>
        <w:rPr>
          <w:rFonts w:ascii="Times New Roman" w:hAnsi="Times New Roman" w:eastAsia="黑体"/>
          <w:b/>
          <w:color w:val="000000"/>
          <w:sz w:val="32"/>
        </w:rPr>
        <w:t>六、其他要求</w:t>
      </w:r>
    </w:p>
    <w:p w14:paraId="0E7D4C46">
      <w:pPr>
        <w:spacing w:before="0" w:after="0" w:line="360" w:lineRule="auto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1.供应商报价包含课程开发、师资、线上平台使用费、题库、技术运维、报表整理、税费等本项目全部费用，采购人不再另行支付其他费用；</w:t>
      </w:r>
    </w:p>
    <w:p w14:paraId="071A50FC">
      <w:pPr>
        <w:spacing w:before="0" w:after="0" w:line="360" w:lineRule="auto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2.课程版权清晰，不存在版权纠纷，可在</w:t>
      </w:r>
      <w:r>
        <w:rPr>
          <w:rFonts w:hint="eastAsia"/>
          <w:b w:val="0"/>
          <w:color w:val="000000"/>
          <w:sz w:val="24"/>
          <w:lang w:val="en-US" w:eastAsia="zh-CN"/>
        </w:rPr>
        <w:t>医</w:t>
      </w:r>
      <w:r>
        <w:rPr>
          <w:rFonts w:ascii="Times New Roman" w:hAnsi="Times New Roman" w:eastAsia="宋体"/>
          <w:b w:val="0"/>
          <w:color w:val="000000"/>
          <w:sz w:val="24"/>
        </w:rPr>
        <w:t>院内培训使用；</w:t>
      </w:r>
    </w:p>
    <w:p w14:paraId="7A8669F3">
      <w:pPr>
        <w:spacing w:before="0" w:after="0" w:line="360" w:lineRule="auto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3.不得转包、分包本项目。</w:t>
      </w:r>
    </w:p>
    <w:p w14:paraId="671CC5D7">
      <w:pPr>
        <w:spacing w:before="280" w:after="120" w:line="360" w:lineRule="auto"/>
        <w:ind w:firstLine="480"/>
      </w:pPr>
      <w:r>
        <w:rPr>
          <w:rFonts w:ascii="Times New Roman" w:hAnsi="Times New Roman" w:eastAsia="黑体"/>
          <w:b/>
          <w:color w:val="000000"/>
          <w:sz w:val="32"/>
        </w:rPr>
        <w:t>七、响应要求</w:t>
      </w:r>
    </w:p>
    <w:p w14:paraId="2C80924B">
      <w:pPr>
        <w:spacing w:before="0" w:after="0" w:line="360" w:lineRule="auto"/>
        <w:ind w:firstLine="480"/>
        <w:jc w:val="both"/>
        <w:rPr>
          <w:rFonts w:ascii="Times New Roman" w:hAnsi="Times New Roman" w:eastAsia="宋体"/>
          <w:b w:val="0"/>
          <w:color w:val="000000"/>
          <w:sz w:val="24"/>
        </w:rPr>
      </w:pPr>
      <w:r>
        <w:rPr>
          <w:rFonts w:ascii="Times New Roman" w:hAnsi="Times New Roman" w:eastAsia="宋体"/>
          <w:b w:val="0"/>
          <w:color w:val="000000"/>
          <w:sz w:val="24"/>
        </w:rPr>
        <w:t>供应商须提供《技术响应表》，逐条对照本采购需求应答，注明“满足／不满足／优于”，不满足项须说明原因。</w:t>
      </w:r>
      <w:bookmarkStart w:id="0" w:name="_GoBack"/>
      <w:bookmarkEnd w:id="0"/>
    </w:p>
    <w:p w14:paraId="16C5746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C4D406F"/>
    <w:rsid w:val="4C4D40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Times New Roman" w:hAnsi="Times New Roman" w:eastAsia="宋体" w:cstheme="minorBidi"/>
      <w:sz w:val="24"/>
      <w:szCs w:val="22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2026-11-04T00:21:00Z</dcterms:created>
  <dc:creator>zzy</dc:creator>
  <cp:lastModifiedBy>zzy</cp:lastModifiedBy>
  <dcterms:modified xsi:type="dcterms:W3CDTF">2026-11-04T00:22:53Z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2217D96F82EB4B1583C179443D0330D6_11</vt:lpwstr>
  </property>
  <property fmtid="{D5CDD505-2E9C-101B-9397-08002B2CF9AE}" pid="4" name="KSOTemplateDocerSaveRecord">
    <vt:lpwstr>eyJoZGlkIjoiZmY0MTMzNmVhMGE0OGI1MDA0ZjlhNDVjNTU3MWQ4YTMiLCJ1c2VySWQiOiI3OTkxOTMzMDcifQ==</vt:lpwstr>
  </property>
</Properties>
</file>