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BF752">
      <w:pPr>
        <w:spacing w:before="0" w:after="0" w:line="360" w:lineRule="auto"/>
        <w:ind w:firstLine="480"/>
        <w:jc w:val="both"/>
        <w:rPr>
          <w:rFonts w:eastAsia="黑体"/>
          <w:b/>
          <w:color w:val="000000"/>
          <w:sz w:val="32"/>
          <w:szCs w:val="32"/>
          <w:woUserID w:val="1"/>
        </w:rPr>
      </w:pPr>
      <w:r>
        <w:rPr>
          <w:rFonts w:ascii="Times New Roman" w:hAnsi="Times New Roman" w:eastAsia="黑体"/>
          <w:b/>
          <w:color w:val="000000"/>
          <w:sz w:val="32"/>
          <w:szCs w:val="32"/>
          <w:woUserID w:val="1"/>
        </w:rPr>
        <w:t>附件</w:t>
      </w:r>
      <w:r>
        <w:rPr>
          <w:rFonts w:eastAsia="黑体"/>
          <w:b/>
          <w:color w:val="000000"/>
          <w:sz w:val="32"/>
          <w:szCs w:val="32"/>
          <w:woUserID w:val="1"/>
        </w:rPr>
        <w:t>2</w:t>
      </w:r>
    </w:p>
    <w:p w14:paraId="12ED7334">
      <w:pPr>
        <w:spacing w:before="0" w:after="0" w:line="360" w:lineRule="auto"/>
        <w:ind w:firstLine="480"/>
        <w:jc w:val="center"/>
        <w:rPr>
          <w:rFonts w:ascii="Times New Roman" w:hAnsi="Times New Roman" w:eastAsia="黑体"/>
          <w:b/>
          <w:color w:val="000000"/>
          <w:sz w:val="36"/>
          <w:woUserID w:val="1"/>
        </w:rPr>
      </w:pPr>
    </w:p>
    <w:p w14:paraId="40E5C6F2">
      <w:pPr>
        <w:spacing w:before="0" w:after="0" w:line="360" w:lineRule="auto"/>
        <w:ind w:firstLine="480"/>
        <w:jc w:val="center"/>
        <w:rPr>
          <w:rFonts w:eastAsia="黑体"/>
          <w:b/>
          <w:color w:val="000000"/>
          <w:sz w:val="36"/>
          <w:woUserID w:val="1"/>
        </w:rPr>
      </w:pPr>
      <w:bookmarkStart w:id="0" w:name="_GoBack"/>
      <w:bookmarkEnd w:id="0"/>
      <w:r>
        <w:rPr>
          <w:rFonts w:ascii="Times New Roman" w:hAnsi="Times New Roman" w:eastAsia="黑体"/>
          <w:b/>
          <w:color w:val="000000"/>
          <w:sz w:val="36"/>
          <w:woUserID w:val="1"/>
        </w:rPr>
        <w:t>基</w:t>
      </w:r>
      <w:r>
        <w:rPr>
          <w:rFonts w:eastAsia="黑体"/>
          <w:b/>
          <w:color w:val="000000"/>
          <w:sz w:val="36"/>
          <w:woUserID w:val="1"/>
        </w:rPr>
        <w:t>响应技术表</w:t>
      </w:r>
    </w:p>
    <w:p w14:paraId="1F687A0F">
      <w:pPr>
        <w:spacing w:before="0" w:after="0" w:line="360" w:lineRule="auto"/>
        <w:ind w:firstLine="480"/>
        <w:jc w:val="center"/>
        <w:rPr>
          <w:rFonts w:eastAsia="黑体"/>
          <w:b/>
          <w:color w:val="000000"/>
          <w:sz w:val="36"/>
          <w:woUserID w:val="1"/>
        </w:rPr>
      </w:pPr>
    </w:p>
    <w:tbl>
      <w:tblPr>
        <w:tblStyle w:val="3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331"/>
        <w:gridCol w:w="2924"/>
        <w:gridCol w:w="1859"/>
        <w:gridCol w:w="2459"/>
      </w:tblGrid>
      <w:tr w14:paraId="6EB19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65" w:type="dxa"/>
            <w:shd w:val="clear" w:color="auto" w:fill="D9D9D9"/>
            <w:vAlign w:val="center"/>
          </w:tcPr>
          <w:p w14:paraId="22B934C9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woUserID w:val="1"/>
              </w:rPr>
              <w:t>序号</w:t>
            </w:r>
          </w:p>
        </w:tc>
        <w:tc>
          <w:tcPr>
            <w:tcW w:w="1331" w:type="dxa"/>
            <w:shd w:val="clear" w:color="auto" w:fill="D9D9D9"/>
            <w:vAlign w:val="center"/>
          </w:tcPr>
          <w:p w14:paraId="25A4BD35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woUserID w:val="1"/>
              </w:rPr>
              <w:t>项目</w:t>
            </w:r>
          </w:p>
        </w:tc>
        <w:tc>
          <w:tcPr>
            <w:tcW w:w="2924" w:type="dxa"/>
            <w:shd w:val="clear" w:color="auto" w:fill="D9D9D9"/>
            <w:vAlign w:val="center"/>
          </w:tcPr>
          <w:p w14:paraId="0F87F832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woUserID w:val="1"/>
              </w:rPr>
              <w:t>技术及服务要求</w:t>
            </w:r>
          </w:p>
        </w:tc>
        <w:tc>
          <w:tcPr>
            <w:tcW w:w="1859" w:type="dxa"/>
            <w:shd w:val="clear" w:color="auto" w:fill="D9D9D9"/>
            <w:vAlign w:val="center"/>
          </w:tcPr>
          <w:p w14:paraId="523D1317">
            <w:pPr>
              <w:spacing w:before="40" w:after="40" w:line="240" w:lineRule="auto"/>
              <w:jc w:val="center"/>
              <w:rPr>
                <w:b/>
                <w:color w:val="000000"/>
                <w:sz w:val="21"/>
                <w:woUserID w:val="1"/>
              </w:rPr>
            </w:pPr>
            <w:r>
              <w:rPr>
                <w:b/>
                <w:color w:val="000000"/>
                <w:sz w:val="21"/>
                <w:woUserID w:val="1"/>
              </w:rPr>
              <w:t>需求应答</w:t>
            </w:r>
          </w:p>
          <w:p w14:paraId="4094A020">
            <w:pPr>
              <w:spacing w:before="40" w:after="40" w:line="240" w:lineRule="auto"/>
              <w:jc w:val="center"/>
              <w:rPr>
                <w:rFonts w:hint="default"/>
                <w:b/>
                <w:color w:val="000000"/>
                <w:sz w:val="21"/>
                <w:woUserID w:val="1"/>
              </w:rPr>
            </w:pPr>
            <w:r>
              <w:rPr>
                <w:rFonts w:hint="default"/>
                <w:b/>
                <w:color w:val="000000"/>
                <w:sz w:val="21"/>
                <w:woUserID w:val="1"/>
              </w:rPr>
              <w:t>（注明满足/不满足/优于）</w:t>
            </w:r>
          </w:p>
        </w:tc>
        <w:tc>
          <w:tcPr>
            <w:tcW w:w="2459" w:type="dxa"/>
            <w:shd w:val="clear" w:color="auto" w:fill="D9D9D9"/>
            <w:vAlign w:val="center"/>
          </w:tcPr>
          <w:p w14:paraId="2853A214">
            <w:pPr>
              <w:spacing w:before="40" w:after="40" w:line="240" w:lineRule="auto"/>
              <w:jc w:val="center"/>
              <w:rPr>
                <w:rFonts w:hint="default"/>
                <w:b/>
                <w:color w:val="000000"/>
                <w:sz w:val="21"/>
                <w:woUserID w:val="1"/>
              </w:rPr>
            </w:pPr>
            <w:r>
              <w:rPr>
                <w:rFonts w:hint="default"/>
                <w:b/>
                <w:color w:val="000000"/>
                <w:sz w:val="21"/>
                <w:woUserID w:val="1"/>
              </w:rPr>
              <w:t>备注（不满足项说明原因）</w:t>
            </w:r>
          </w:p>
        </w:tc>
      </w:tr>
      <w:tr w14:paraId="77FC9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5" w:type="dxa"/>
            <w:vAlign w:val="center"/>
          </w:tcPr>
          <w:p w14:paraId="6D1A9E88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1</w:t>
            </w:r>
          </w:p>
        </w:tc>
        <w:tc>
          <w:tcPr>
            <w:tcW w:w="1331" w:type="dxa"/>
            <w:vAlign w:val="center"/>
          </w:tcPr>
          <w:p w14:paraId="52F39BB7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账号管理★</w:t>
            </w:r>
          </w:p>
        </w:tc>
        <w:tc>
          <w:tcPr>
            <w:tcW w:w="2924" w:type="dxa"/>
            <w:vAlign w:val="center"/>
          </w:tcPr>
          <w:p w14:paraId="1B0C8DF0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支持批量导入800名学员信息，支持单独增删学员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  <w:woUserID w:val="1"/>
              </w:rPr>
              <w:t>，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可设置学员权限。</w:t>
            </w:r>
          </w:p>
        </w:tc>
        <w:tc>
          <w:tcPr>
            <w:tcW w:w="1859" w:type="dxa"/>
            <w:vAlign w:val="center"/>
          </w:tcPr>
          <w:p w14:paraId="196C4822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  <w:tc>
          <w:tcPr>
            <w:tcW w:w="2459" w:type="dxa"/>
            <w:vAlign w:val="center"/>
          </w:tcPr>
          <w:p w14:paraId="7A284B76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</w:tr>
      <w:tr w14:paraId="4F3A2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5" w:type="dxa"/>
            <w:vAlign w:val="center"/>
          </w:tcPr>
          <w:p w14:paraId="0B55BD39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2</w:t>
            </w:r>
          </w:p>
        </w:tc>
        <w:tc>
          <w:tcPr>
            <w:tcW w:w="1331" w:type="dxa"/>
            <w:vAlign w:val="center"/>
          </w:tcPr>
          <w:p w14:paraId="57E2F3F3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学习管理★</w:t>
            </w:r>
          </w:p>
        </w:tc>
        <w:tc>
          <w:tcPr>
            <w:tcW w:w="2924" w:type="dxa"/>
            <w:vAlign w:val="center"/>
          </w:tcPr>
          <w:p w14:paraId="39DF6CF0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支持课程点播、进度记录、学时自动累计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  <w:woUserID w:val="1"/>
              </w:rPr>
              <w:t>，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可查看个人学习进度及未完成学员清单。</w:t>
            </w:r>
          </w:p>
        </w:tc>
        <w:tc>
          <w:tcPr>
            <w:tcW w:w="1859" w:type="dxa"/>
            <w:vAlign w:val="center"/>
          </w:tcPr>
          <w:p w14:paraId="041AB3A2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  <w:tc>
          <w:tcPr>
            <w:tcW w:w="2459" w:type="dxa"/>
            <w:vAlign w:val="center"/>
          </w:tcPr>
          <w:p w14:paraId="43E2931F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</w:tr>
      <w:tr w14:paraId="777B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5" w:type="dxa"/>
            <w:vAlign w:val="center"/>
          </w:tcPr>
          <w:p w14:paraId="2ADAAC00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3</w:t>
            </w:r>
          </w:p>
        </w:tc>
        <w:tc>
          <w:tcPr>
            <w:tcW w:w="1331" w:type="dxa"/>
            <w:vAlign w:val="center"/>
          </w:tcPr>
          <w:p w14:paraId="6403582A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课程回放★</w:t>
            </w:r>
          </w:p>
        </w:tc>
        <w:tc>
          <w:tcPr>
            <w:tcW w:w="2924" w:type="dxa"/>
            <w:vAlign w:val="center"/>
          </w:tcPr>
          <w:p w14:paraId="55260A8D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全部课程支持不限次回放，回放有效期不少于服务周期。</w:t>
            </w:r>
          </w:p>
        </w:tc>
        <w:tc>
          <w:tcPr>
            <w:tcW w:w="1859" w:type="dxa"/>
            <w:vAlign w:val="center"/>
          </w:tcPr>
          <w:p w14:paraId="22FDFA22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  <w:tc>
          <w:tcPr>
            <w:tcW w:w="2459" w:type="dxa"/>
            <w:vAlign w:val="center"/>
          </w:tcPr>
          <w:p w14:paraId="6F4742B3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</w:tr>
      <w:tr w14:paraId="33BE3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5" w:type="dxa"/>
            <w:vAlign w:val="center"/>
          </w:tcPr>
          <w:p w14:paraId="15604C99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4</w:t>
            </w:r>
          </w:p>
        </w:tc>
        <w:tc>
          <w:tcPr>
            <w:tcW w:w="1331" w:type="dxa"/>
            <w:vAlign w:val="center"/>
          </w:tcPr>
          <w:p w14:paraId="7E50A81F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题库与在线考试★</w:t>
            </w:r>
          </w:p>
        </w:tc>
        <w:tc>
          <w:tcPr>
            <w:tcW w:w="2924" w:type="dxa"/>
            <w:vAlign w:val="center"/>
          </w:tcPr>
          <w:p w14:paraId="3B2E3906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配套对应培训题库，支持自动组卷、手动组卷；支持限时考试、防作弊设置（切屏提醒、限时交卷）；自动阅卷，即时出分。</w:t>
            </w:r>
          </w:p>
        </w:tc>
        <w:tc>
          <w:tcPr>
            <w:tcW w:w="1859" w:type="dxa"/>
            <w:vAlign w:val="center"/>
          </w:tcPr>
          <w:p w14:paraId="1F82444B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  <w:tc>
          <w:tcPr>
            <w:tcW w:w="2459" w:type="dxa"/>
            <w:vAlign w:val="center"/>
          </w:tcPr>
          <w:p w14:paraId="0312F7DC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</w:tr>
      <w:tr w14:paraId="667E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5" w:type="dxa"/>
            <w:vAlign w:val="center"/>
          </w:tcPr>
          <w:p w14:paraId="5D8912AB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5</w:t>
            </w:r>
          </w:p>
        </w:tc>
        <w:tc>
          <w:tcPr>
            <w:tcW w:w="1331" w:type="dxa"/>
            <w:vAlign w:val="center"/>
          </w:tcPr>
          <w:p w14:paraId="5BD7BA7B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数据统计与导出★</w:t>
            </w:r>
          </w:p>
        </w:tc>
        <w:tc>
          <w:tcPr>
            <w:tcW w:w="2924" w:type="dxa"/>
            <w:vAlign w:val="center"/>
          </w:tcPr>
          <w:p w14:paraId="08994034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可按个人、团队、科室多维度统计参训率、学时完成率、考试成绩、合格率；支持导出Excel台账、培训汇总报表，可直接用于项目验收材料。</w:t>
            </w:r>
          </w:p>
        </w:tc>
        <w:tc>
          <w:tcPr>
            <w:tcW w:w="1859" w:type="dxa"/>
            <w:vAlign w:val="center"/>
          </w:tcPr>
          <w:p w14:paraId="5AC812CE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  <w:tc>
          <w:tcPr>
            <w:tcW w:w="2459" w:type="dxa"/>
            <w:vAlign w:val="center"/>
          </w:tcPr>
          <w:p w14:paraId="5F847466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</w:tr>
      <w:tr w14:paraId="505BA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5" w:type="dxa"/>
            <w:vAlign w:val="center"/>
          </w:tcPr>
          <w:p w14:paraId="784AA28C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6</w:t>
            </w:r>
          </w:p>
        </w:tc>
        <w:tc>
          <w:tcPr>
            <w:tcW w:w="1331" w:type="dxa"/>
            <w:vAlign w:val="center"/>
          </w:tcPr>
          <w:p w14:paraId="5DF990D1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后台管理</w:t>
            </w:r>
          </w:p>
        </w:tc>
        <w:tc>
          <w:tcPr>
            <w:tcW w:w="2924" w:type="dxa"/>
            <w:vAlign w:val="center"/>
          </w:tcPr>
          <w:p w14:paraId="16366D67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提供管理账号，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  <w:woUserID w:val="1"/>
              </w:rPr>
              <w:t>医院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工作人员可自主查看全部培训数据，无需依赖供应商后台查询。</w:t>
            </w:r>
          </w:p>
        </w:tc>
        <w:tc>
          <w:tcPr>
            <w:tcW w:w="1859" w:type="dxa"/>
            <w:vAlign w:val="center"/>
          </w:tcPr>
          <w:p w14:paraId="036118A9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  <w:tc>
          <w:tcPr>
            <w:tcW w:w="2459" w:type="dxa"/>
            <w:vAlign w:val="center"/>
          </w:tcPr>
          <w:p w14:paraId="52DB186C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</w:tr>
      <w:tr w14:paraId="7708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65" w:type="dxa"/>
            <w:vAlign w:val="center"/>
          </w:tcPr>
          <w:p w14:paraId="0EEF2F94">
            <w:pPr>
              <w:spacing w:before="40" w:after="40" w:line="240" w:lineRule="auto"/>
              <w:jc w:val="center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7</w:t>
            </w:r>
          </w:p>
        </w:tc>
        <w:tc>
          <w:tcPr>
            <w:tcW w:w="1331" w:type="dxa"/>
            <w:vAlign w:val="center"/>
          </w:tcPr>
          <w:p w14:paraId="3C1B13B0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系统稳定性</w:t>
            </w:r>
          </w:p>
        </w:tc>
        <w:tc>
          <w:tcPr>
            <w:tcW w:w="2924" w:type="dxa"/>
            <w:vAlign w:val="center"/>
          </w:tcPr>
          <w:p w14:paraId="7CC8595C">
            <w:pPr>
              <w:spacing w:before="40" w:after="40" w:line="240" w:lineRule="auto"/>
              <w:jc w:val="left"/>
              <w:rPr>
                <w:woUserID w:val="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  <w:t>平台保证培训期间稳定运行，支持不低于800人同时在线学习、考试；出现故障30分钟内响应处置。</w:t>
            </w:r>
          </w:p>
        </w:tc>
        <w:tc>
          <w:tcPr>
            <w:tcW w:w="1859" w:type="dxa"/>
            <w:vAlign w:val="center"/>
          </w:tcPr>
          <w:p w14:paraId="3686760B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  <w:tc>
          <w:tcPr>
            <w:tcW w:w="2459" w:type="dxa"/>
            <w:vAlign w:val="center"/>
          </w:tcPr>
          <w:p w14:paraId="30A7FB73">
            <w:pPr>
              <w:spacing w:before="40" w:after="40" w:line="240" w:lineRule="auto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  <w:woUserID w:val="1"/>
              </w:rPr>
            </w:pPr>
          </w:p>
        </w:tc>
      </w:tr>
    </w:tbl>
    <w:p w14:paraId="4DD0DD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D11AC"/>
    <w:rsid w:val="486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2026-11-04T00:23:00Z</dcterms:created>
  <dc:creator>zzy</dc:creator>
  <cp:lastModifiedBy>zzy</cp:lastModifiedBy>
  <dcterms:modified xsi:type="dcterms:W3CDTF">2026-11-04T00:23:20Z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F18176D51A91455EA39A2CBD66BBCE56_11</vt:lpwstr>
  </property>
  <property fmtid="{D5CDD505-2E9C-101B-9397-08002B2CF9AE}" pid="4" name="KSOTemplateDocerSaveRecord">
    <vt:lpwstr>eyJoZGlkIjoiZmY0MTMzNmVhMGE0OGI1MDA0ZjlhNDVjNTU3MWQ4YTMiLCJ1c2VySWQiOiI3OTkxOTMzMDcifQ==</vt:lpwstr>
  </property>
</Properties>
</file>